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bookmarkStart w:id="10" w:name="_GoBack"/>
      <w:bookmarkEnd w:id="10"/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威海火炬高技术产业开发区科技创新局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2021年政府信息公开工作年度报告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center"/>
        <w:textAlignment w:val="auto"/>
        <w:rPr>
          <w:rFonts w:hint="eastAsia" w:ascii="仿宋_GB2312" w:eastAsia="仿宋_GB2312"/>
          <w:sz w:val="32"/>
          <w:szCs w:val="32"/>
        </w:rPr>
      </w:pP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根据政府信息公开工作有关要求，结合年度工作实际，现将我局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2021年度政府信息公开工作年度报告总结如下：</w:t>
      </w:r>
    </w:p>
    <w:p>
      <w:pPr>
        <w:pStyle w:val="3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</w:rPr>
      </w:pPr>
      <w:r>
        <w:rPr>
          <w:rFonts w:hint="eastAsia" w:ascii="黑体" w:hAnsi="黑体" w:eastAsia="黑体" w:cs="黑体"/>
          <w:b w:val="0"/>
          <w:bCs w:val="0"/>
          <w:lang w:eastAsia="zh-CN"/>
        </w:rPr>
        <w:t>一、</w:t>
      </w:r>
      <w:r>
        <w:rPr>
          <w:rFonts w:hint="eastAsia" w:ascii="黑体" w:hAnsi="黑体" w:eastAsia="黑体" w:cs="黑体"/>
          <w:b w:val="0"/>
          <w:bCs w:val="0"/>
        </w:rPr>
        <w:t>总体情况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2021年区科技创新局认真贯彻上级关于政府信息公开有关要求，坚持“公开为常态、不公开为例外”原则，加强组织领导，健全工作机制，用好各类媒介，严格标准规范，各项工作取得积极成效。</w:t>
      </w:r>
    </w:p>
    <w:p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bCs/>
          <w:sz w:val="32"/>
          <w:szCs w:val="32"/>
          <w:lang w:eastAsia="zh-CN"/>
        </w:rPr>
        <w:t>（一）</w:t>
      </w:r>
      <w:r>
        <w:rPr>
          <w:rFonts w:hint="eastAsia" w:ascii="楷体" w:hAnsi="楷体" w:eastAsia="楷体" w:cs="楷体"/>
          <w:b/>
          <w:bCs/>
          <w:sz w:val="32"/>
          <w:szCs w:val="32"/>
        </w:rPr>
        <w:t>主动公开</w:t>
      </w:r>
      <w:r>
        <w:rPr>
          <w:rFonts w:hint="eastAsia" w:ascii="楷体" w:hAnsi="楷体" w:eastAsia="楷体" w:cs="楷体"/>
          <w:b/>
          <w:bCs/>
          <w:sz w:val="32"/>
          <w:szCs w:val="32"/>
          <w:lang w:eastAsia="zh-CN"/>
        </w:rPr>
        <w:t>情况</w:t>
      </w:r>
      <w:r>
        <w:rPr>
          <w:rFonts w:hint="eastAsia" w:ascii="楷体" w:hAnsi="楷体" w:eastAsia="楷体" w:cs="楷体"/>
          <w:b/>
          <w:bCs/>
          <w:sz w:val="32"/>
          <w:szCs w:val="32"/>
        </w:rPr>
        <w:t>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年内累计在管委网站主动公开各类信息124条。其中，稳岗就业类信息102条，社会保险类信息18条，财政预决算信息4条。</w:t>
      </w:r>
    </w:p>
    <w:p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jc w:val="center"/>
      </w:pPr>
      <w:r>
        <w:drawing>
          <wp:inline distT="0" distB="0" distL="114300" distR="114300">
            <wp:extent cx="4977765" cy="2287905"/>
            <wp:effectExtent l="0" t="0" r="13335" b="1714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rcRect l="2136" t="12631" r="1640" b="3559"/>
                    <a:stretch>
                      <a:fillRect/>
                    </a:stretch>
                  </pic:blipFill>
                  <pic:spPr>
                    <a:xfrm>
                      <a:off x="0" y="0"/>
                      <a:ext cx="4977765" cy="2287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center"/>
        <w:rPr>
          <w:rFonts w:hint="eastAsia" w:ascii="楷体" w:hAnsi="楷体" w:eastAsia="楷体" w:cs="楷体"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sz w:val="32"/>
          <w:szCs w:val="32"/>
          <w:lang w:eastAsia="zh-CN"/>
        </w:rPr>
        <w:t>（稳岗就业）</w:t>
      </w:r>
    </w:p>
    <w:p>
      <w:pPr>
        <w:numPr>
          <w:ilvl w:val="0"/>
          <w:numId w:val="0"/>
        </w:numPr>
        <w:jc w:val="center"/>
      </w:pPr>
      <w:r>
        <w:drawing>
          <wp:inline distT="0" distB="0" distL="114300" distR="114300">
            <wp:extent cx="4956175" cy="2313940"/>
            <wp:effectExtent l="0" t="0" r="15875" b="1016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6"/>
                    <a:srcRect l="2529" t="12514" r="2023" b="3812"/>
                    <a:stretch>
                      <a:fillRect/>
                    </a:stretch>
                  </pic:blipFill>
                  <pic:spPr>
                    <a:xfrm>
                      <a:off x="0" y="0"/>
                      <a:ext cx="4956175" cy="2313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ascii="仿宋_GB2312" w:eastAsia="仿宋_GB2312"/>
          <w:b/>
          <w:bCs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  <w:lang w:eastAsia="zh-CN"/>
        </w:rPr>
        <w:t>（社会保险）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bCs/>
          <w:sz w:val="32"/>
          <w:szCs w:val="32"/>
          <w:lang w:eastAsia="zh-CN"/>
        </w:rPr>
        <w:t>（二）</w:t>
      </w:r>
      <w:r>
        <w:rPr>
          <w:rFonts w:hint="eastAsia" w:ascii="楷体" w:hAnsi="楷体" w:eastAsia="楷体" w:cs="楷体"/>
          <w:b/>
          <w:bCs/>
          <w:sz w:val="32"/>
          <w:szCs w:val="32"/>
        </w:rPr>
        <w:t>依申请公开</w:t>
      </w:r>
      <w:r>
        <w:rPr>
          <w:rFonts w:hint="eastAsia" w:ascii="楷体" w:hAnsi="楷体" w:eastAsia="楷体" w:cs="楷体"/>
          <w:b/>
          <w:bCs/>
          <w:sz w:val="32"/>
          <w:szCs w:val="32"/>
          <w:lang w:eastAsia="zh-CN"/>
        </w:rPr>
        <w:t>情况</w:t>
      </w:r>
      <w:r>
        <w:rPr>
          <w:rFonts w:hint="eastAsia" w:ascii="楷体" w:hAnsi="楷体" w:eastAsia="楷体" w:cs="楷体"/>
          <w:b/>
          <w:bCs/>
          <w:sz w:val="32"/>
          <w:szCs w:val="32"/>
        </w:rPr>
        <w:t>。</w:t>
      </w:r>
      <w:r>
        <w:rPr>
          <w:rFonts w:hint="eastAsia" w:ascii="仿宋_GB2312" w:eastAsia="仿宋_GB2312"/>
          <w:sz w:val="32"/>
          <w:szCs w:val="32"/>
          <w:lang w:eastAsia="zh-CN"/>
        </w:rPr>
        <w:t>年内累计受理政府信息公开申请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1件次，涉及失地农民社保金，均依法依规给予答复。未对申请人收费。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bCs/>
          <w:sz w:val="32"/>
          <w:szCs w:val="32"/>
          <w:lang w:eastAsia="zh-CN"/>
        </w:rPr>
        <w:t>（三）</w:t>
      </w:r>
      <w:r>
        <w:rPr>
          <w:rFonts w:hint="eastAsia" w:ascii="楷体" w:hAnsi="楷体" w:eastAsia="楷体" w:cs="楷体"/>
          <w:b/>
          <w:bCs/>
          <w:sz w:val="32"/>
          <w:szCs w:val="32"/>
        </w:rPr>
        <w:t>政府信息管理</w:t>
      </w:r>
      <w:r>
        <w:rPr>
          <w:rFonts w:hint="eastAsia" w:ascii="楷体" w:hAnsi="楷体" w:eastAsia="楷体" w:cs="楷体"/>
          <w:b/>
          <w:bCs/>
          <w:sz w:val="32"/>
          <w:szCs w:val="32"/>
          <w:lang w:eastAsia="zh-CN"/>
        </w:rPr>
        <w:t>情况</w:t>
      </w:r>
      <w:r>
        <w:rPr>
          <w:rFonts w:hint="eastAsia" w:ascii="楷体" w:hAnsi="楷体" w:eastAsia="楷体" w:cs="楷体"/>
          <w:b/>
          <w:bCs/>
          <w:sz w:val="32"/>
          <w:szCs w:val="32"/>
        </w:rPr>
        <w:t>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建立了政府信息发布审批制度，凡涉及政府信息公开内容，均需经过科室负责人、分管领导、主要负责人审核签字，确保信息公开事项规范严谨。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bCs/>
          <w:sz w:val="32"/>
          <w:szCs w:val="32"/>
          <w:lang w:eastAsia="zh-CN"/>
        </w:rPr>
        <w:t>（四）</w:t>
      </w:r>
      <w:r>
        <w:rPr>
          <w:rFonts w:hint="eastAsia" w:ascii="楷体" w:hAnsi="楷体" w:eastAsia="楷体" w:cs="楷体"/>
          <w:b/>
          <w:bCs/>
          <w:sz w:val="32"/>
          <w:szCs w:val="32"/>
        </w:rPr>
        <w:t>政府信息公开平台建设</w:t>
      </w:r>
      <w:r>
        <w:rPr>
          <w:rFonts w:hint="eastAsia" w:ascii="楷体" w:hAnsi="楷体" w:eastAsia="楷体" w:cs="楷体"/>
          <w:b/>
          <w:bCs/>
          <w:sz w:val="32"/>
          <w:szCs w:val="32"/>
          <w:lang w:eastAsia="zh-CN"/>
        </w:rPr>
        <w:t>情况</w:t>
      </w:r>
      <w:r>
        <w:rPr>
          <w:rFonts w:hint="eastAsia" w:ascii="楷体" w:hAnsi="楷体" w:eastAsia="楷体" w:cs="楷体"/>
          <w:b/>
          <w:bCs/>
          <w:sz w:val="32"/>
          <w:szCs w:val="32"/>
        </w:rPr>
        <w:t>。</w:t>
      </w:r>
      <w:r>
        <w:rPr>
          <w:rFonts w:hint="eastAsia" w:ascii="仿宋_GB2312" w:eastAsia="仿宋_GB2312"/>
          <w:sz w:val="32"/>
          <w:szCs w:val="32"/>
          <w:lang w:eastAsia="zh-CN"/>
        </w:rPr>
        <w:t>根据上级关于政府信息公开的规范要求，对照《就业领域基层政务公开标准指引》和本地区就业基层政务公开事项标准目录，申请将管委网站稳岗就业公开子栏目进行了完善，设置了政策制度、经办流程、公示公开、招聘信息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4个子栏目。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b/>
          <w:bCs/>
          <w:sz w:val="32"/>
          <w:szCs w:val="32"/>
          <w:lang w:eastAsia="zh-CN"/>
        </w:rPr>
        <w:t>（五）</w:t>
      </w:r>
      <w:r>
        <w:rPr>
          <w:rFonts w:hint="eastAsia" w:ascii="楷体" w:hAnsi="楷体" w:eastAsia="楷体" w:cs="楷体"/>
          <w:b/>
          <w:bCs/>
          <w:sz w:val="32"/>
          <w:szCs w:val="32"/>
        </w:rPr>
        <w:t>监督保障</w:t>
      </w:r>
      <w:r>
        <w:rPr>
          <w:rFonts w:hint="eastAsia" w:ascii="楷体" w:hAnsi="楷体" w:eastAsia="楷体" w:cs="楷体"/>
          <w:b/>
          <w:bCs/>
          <w:sz w:val="32"/>
          <w:szCs w:val="32"/>
          <w:lang w:eastAsia="zh-CN"/>
        </w:rPr>
        <w:t>情况</w:t>
      </w:r>
      <w:r>
        <w:rPr>
          <w:rFonts w:hint="eastAsia" w:ascii="楷体" w:hAnsi="楷体" w:eastAsia="楷体" w:cs="楷体"/>
          <w:b/>
          <w:bCs/>
          <w:sz w:val="32"/>
          <w:szCs w:val="32"/>
        </w:rPr>
        <w:t>。</w:t>
      </w:r>
      <w:r>
        <w:rPr>
          <w:rFonts w:hint="eastAsia" w:ascii="仿宋_GB2312" w:eastAsia="仿宋_GB2312"/>
          <w:b w:val="0"/>
          <w:bCs w:val="0"/>
          <w:sz w:val="32"/>
          <w:szCs w:val="32"/>
          <w:lang w:eastAsia="zh-CN"/>
        </w:rPr>
        <w:t>加强组织领导，</w:t>
      </w:r>
      <w:r>
        <w:rPr>
          <w:rFonts w:hint="eastAsia" w:ascii="仿宋_GB2312" w:eastAsia="仿宋_GB2312"/>
          <w:sz w:val="32"/>
          <w:szCs w:val="32"/>
          <w:lang w:eastAsia="zh-CN"/>
        </w:rPr>
        <w:t>由分管领导牵头，各科室安排专人负责承办职责范围内的各类政府信息公开事项，</w:t>
      </w:r>
      <w:r>
        <w:rPr>
          <w:rFonts w:hint="eastAsia" w:eastAsia="仿宋_GB2312" w:cs="Times New Roman"/>
          <w:color w:val="000000"/>
          <w:sz w:val="32"/>
          <w:szCs w:val="32"/>
        </w:rPr>
        <w:t>形成了“有领导分管</w:t>
      </w:r>
      <w:r>
        <w:rPr>
          <w:rFonts w:hint="eastAsia" w:eastAsia="仿宋_GB2312" w:cs="Times New Roman"/>
          <w:color w:val="000000"/>
          <w:sz w:val="32"/>
          <w:szCs w:val="32"/>
          <w:lang w:eastAsia="zh-CN"/>
        </w:rPr>
        <w:t>、</w:t>
      </w:r>
      <w:r>
        <w:rPr>
          <w:rFonts w:hint="eastAsia" w:eastAsia="仿宋_GB2312" w:cs="Times New Roman"/>
          <w:color w:val="000000"/>
          <w:sz w:val="32"/>
          <w:szCs w:val="32"/>
        </w:rPr>
        <w:t>有机构负责</w:t>
      </w:r>
      <w:r>
        <w:rPr>
          <w:rFonts w:hint="eastAsia" w:eastAsia="仿宋_GB2312" w:cs="Times New Roman"/>
          <w:color w:val="000000"/>
          <w:sz w:val="32"/>
          <w:szCs w:val="32"/>
          <w:lang w:eastAsia="zh-CN"/>
        </w:rPr>
        <w:t>、</w:t>
      </w:r>
      <w:r>
        <w:rPr>
          <w:rFonts w:hint="eastAsia" w:eastAsia="仿宋_GB2312" w:cs="Times New Roman"/>
          <w:color w:val="000000"/>
          <w:sz w:val="32"/>
          <w:szCs w:val="32"/>
        </w:rPr>
        <w:t>有专人承办”工作格局</w:t>
      </w:r>
      <w:r>
        <w:rPr>
          <w:rFonts w:hint="eastAsia" w:eastAsia="仿宋_GB2312" w:cs="Times New Roman"/>
          <w:color w:val="000000"/>
          <w:sz w:val="32"/>
          <w:szCs w:val="32"/>
          <w:lang w:eastAsia="zh-CN"/>
        </w:rPr>
        <w:t>；</w:t>
      </w:r>
      <w:r>
        <w:rPr>
          <w:rFonts w:hint="eastAsia" w:ascii="仿宋_GB2312" w:eastAsia="仿宋_GB2312"/>
          <w:b w:val="0"/>
          <w:bCs w:val="0"/>
          <w:sz w:val="32"/>
          <w:szCs w:val="32"/>
          <w:lang w:eastAsia="zh-CN"/>
        </w:rPr>
        <w:t>加强学习培训，</w:t>
      </w:r>
      <w:r>
        <w:rPr>
          <w:rFonts w:hint="eastAsia" w:ascii="仿宋_GB2312" w:eastAsia="仿宋_GB2312"/>
          <w:sz w:val="32"/>
          <w:szCs w:val="32"/>
          <w:lang w:eastAsia="zh-CN"/>
        </w:rPr>
        <w:t>在用好各级各类政府信息公开培训的基础上，注重在承办各类政府信息公开事项中的加强学习实践，年内累计组织参加各类培训学习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6次、30余人次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</w:p>
    <w:p>
      <w:pPr>
        <w:pStyle w:val="3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0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</w:rPr>
      </w:pPr>
      <w:r>
        <w:rPr>
          <w:rFonts w:hint="eastAsia" w:ascii="黑体" w:hAnsi="黑体" w:eastAsia="黑体" w:cs="黑体"/>
          <w:b w:val="0"/>
          <w:bCs w:val="0"/>
          <w:lang w:eastAsia="zh-CN"/>
        </w:rPr>
        <w:t>二、</w:t>
      </w:r>
      <w:r>
        <w:rPr>
          <w:rFonts w:hint="eastAsia" w:ascii="黑体" w:hAnsi="黑体" w:eastAsia="黑体" w:cs="黑体"/>
          <w:b w:val="0"/>
          <w:bCs w:val="0"/>
        </w:rPr>
        <w:t>主动公开政府信息情况统计表</w:t>
      </w:r>
    </w:p>
    <w:tbl>
      <w:tblPr>
        <w:tblStyle w:val="6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第二十条第（一）项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现行有效件数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1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第二十条第（五）项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第二十条第（六）项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第二十条第（八）项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11.75</w:t>
            </w:r>
          </w:p>
        </w:tc>
      </w:tr>
    </w:tbl>
    <w:p>
      <w:pPr>
        <w:rPr>
          <w:rFonts w:ascii="仿宋_GB2312" w:eastAsia="仿宋_GB2312"/>
          <w:sz w:val="32"/>
          <w:szCs w:val="32"/>
        </w:rPr>
        <w:sectPr>
          <w:footerReference r:id="rId3" w:type="default"/>
          <w:pgSz w:w="11906" w:h="16838"/>
          <w:pgMar w:top="1440" w:right="1474" w:bottom="1440" w:left="1588" w:header="851" w:footer="992" w:gutter="0"/>
          <w:pgNumType w:fmt="numberInDash"/>
          <w:cols w:space="425" w:num="1"/>
          <w:docGrid w:type="lines" w:linePitch="312" w:charSpace="0"/>
        </w:sect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三、</w:t>
      </w:r>
      <w:r>
        <w:rPr>
          <w:rFonts w:hint="eastAsia" w:ascii="黑体" w:hAnsi="黑体" w:eastAsia="黑体" w:cs="黑体"/>
          <w:sz w:val="32"/>
          <w:szCs w:val="32"/>
        </w:rPr>
        <w:t>收到和处理政府信息公开申请情况</w:t>
      </w:r>
      <w:bookmarkStart w:id="0" w:name="_Hlk83814431"/>
      <w:r>
        <w:rPr>
          <w:rFonts w:hint="eastAsia" w:ascii="黑体" w:hAnsi="黑体" w:eastAsia="黑体" w:cs="黑体"/>
          <w:sz w:val="32"/>
          <w:szCs w:val="32"/>
        </w:rPr>
        <w:t>统计表</w:t>
      </w:r>
      <w:bookmarkEnd w:id="0"/>
    </w:p>
    <w:tbl>
      <w:tblPr>
        <w:tblStyle w:val="6"/>
        <w:tblW w:w="9913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829"/>
        <w:gridCol w:w="567"/>
        <w:gridCol w:w="567"/>
        <w:gridCol w:w="731"/>
        <w:gridCol w:w="708"/>
        <w:gridCol w:w="567"/>
        <w:gridCol w:w="851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楷体_GB2312" w:hAnsi="黑体" w:eastAsia="楷体_GB2312"/>
                <w:kern w:val="0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（本列数据的勾稽关系为：第一项加第二项之和，</w:t>
            </w:r>
          </w:p>
          <w:p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等于第三项加第四项之和）</w:t>
            </w:r>
          </w:p>
        </w:tc>
        <w:tc>
          <w:tcPr>
            <w:tcW w:w="482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申请人情况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829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自然人</w:t>
            </w:r>
          </w:p>
        </w:tc>
        <w:tc>
          <w:tcPr>
            <w:tcW w:w="3140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法人或其他组织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总计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82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商业企业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科研机构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社会公益组织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法律服务机构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其他</w:t>
            </w:r>
          </w:p>
        </w:tc>
        <w:tc>
          <w:tcPr>
            <w:tcW w:w="85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一、</w:t>
            </w:r>
            <w:bookmarkStart w:id="1" w:name="_Hlk66973412"/>
            <w:r>
              <w:rPr>
                <w:rFonts w:hint="eastAsia" w:ascii="黑体" w:hAnsi="黑体" w:eastAsia="黑体"/>
                <w:kern w:val="0"/>
                <w:szCs w:val="21"/>
              </w:rPr>
              <w:t>本年新收政府信息公开申请数量</w:t>
            </w:r>
            <w:bookmarkEnd w:id="1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（一）予以公开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（二）部分公开（</w:t>
            </w:r>
            <w:bookmarkStart w:id="2" w:name="_Hlk66973981"/>
            <w:r>
              <w:rPr>
                <w:rFonts w:hint="eastAsia" w:ascii="黑体" w:hAnsi="黑体" w:eastAsia="黑体"/>
                <w:kern w:val="0"/>
                <w:szCs w:val="21"/>
              </w:rPr>
              <w:t>区分处理的，只计这一情形，不计其他情形</w:t>
            </w:r>
            <w:bookmarkEnd w:id="2"/>
            <w:r>
              <w:rPr>
                <w:rFonts w:hint="eastAsia" w:ascii="黑体" w:hAnsi="黑体" w:eastAsia="黑体"/>
                <w:kern w:val="0"/>
                <w:szCs w:val="21"/>
              </w:rPr>
              <w:t>）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1.属于国家秘密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3" w:name="_Hlk66974104"/>
            <w:r>
              <w:rPr>
                <w:rFonts w:hint="eastAsia" w:ascii="仿宋_GB2312" w:hAnsi="黑体" w:eastAsia="仿宋_GB2312"/>
                <w:kern w:val="0"/>
                <w:szCs w:val="21"/>
              </w:rPr>
              <w:t>其他法律行政法规禁止公开</w:t>
            </w:r>
            <w:bookmarkEnd w:id="3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3.危及“三安全一稳定”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</w:t>
            </w:r>
            <w:bookmarkStart w:id="4" w:name="_Hlk66974290"/>
            <w:r>
              <w:rPr>
                <w:rFonts w:hint="eastAsia" w:ascii="仿宋_GB2312" w:hAnsi="黑体" w:eastAsia="仿宋_GB2312"/>
                <w:kern w:val="0"/>
                <w:szCs w:val="21"/>
              </w:rPr>
              <w:t>保护第三方合法权益</w:t>
            </w:r>
            <w:bookmarkEnd w:id="4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5.属于三类内部事务信息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6.</w:t>
            </w:r>
            <w:bookmarkStart w:id="5" w:name="_Hlk66974555"/>
            <w:r>
              <w:rPr>
                <w:rFonts w:hint="eastAsia" w:ascii="仿宋_GB2312" w:hAnsi="黑体" w:eastAsia="仿宋_GB2312"/>
                <w:kern w:val="0"/>
                <w:szCs w:val="21"/>
              </w:rPr>
              <w:t>属于四类过程性信息</w:t>
            </w:r>
            <w:bookmarkEnd w:id="5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7.属于行政执法案卷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8.</w:t>
            </w:r>
            <w:bookmarkStart w:id="6" w:name="_Hlk66975211"/>
            <w:r>
              <w:rPr>
                <w:rFonts w:hint="eastAsia" w:ascii="仿宋_GB2312" w:hAnsi="黑体" w:eastAsia="仿宋_GB2312"/>
                <w:kern w:val="0"/>
                <w:szCs w:val="21"/>
              </w:rPr>
              <w:t>属于行政查询事项</w:t>
            </w:r>
            <w:bookmarkEnd w:id="6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1.本机关不掌握相关政府信息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7" w:name="_Hlk66975392"/>
            <w:r>
              <w:rPr>
                <w:rFonts w:hint="eastAsia" w:ascii="仿宋_GB2312" w:hAnsi="黑体" w:eastAsia="仿宋_GB2312"/>
                <w:kern w:val="0"/>
                <w:szCs w:val="21"/>
              </w:rPr>
              <w:t>没有现成信息需要另行制作</w:t>
            </w:r>
            <w:bookmarkEnd w:id="7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</w:t>
            </w:r>
            <w:bookmarkStart w:id="8" w:name="_Hlk66975466"/>
            <w:r>
              <w:rPr>
                <w:rFonts w:hint="eastAsia" w:ascii="仿宋_GB2312" w:hAnsi="黑体" w:eastAsia="仿宋_GB2312"/>
                <w:kern w:val="0"/>
                <w:szCs w:val="21"/>
              </w:rPr>
              <w:t>补正后申请内容仍不明确</w:t>
            </w:r>
            <w:bookmarkEnd w:id="8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</w:t>
            </w:r>
            <w:bookmarkStart w:id="9" w:name="_Hlk66975537"/>
            <w:r>
              <w:rPr>
                <w:rFonts w:hint="eastAsia" w:ascii="仿宋_GB2312" w:hAnsi="黑体" w:eastAsia="仿宋_GB2312"/>
                <w:kern w:val="0"/>
                <w:szCs w:val="21"/>
              </w:rPr>
              <w:t>信访举报投诉类申请</w:t>
            </w:r>
            <w:bookmarkEnd w:id="9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2.重复申请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3.要求提供公开出版物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4.无正当理由大量反复申请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5.要求行政机关确认或重新</w:t>
            </w:r>
          </w:p>
          <w:p>
            <w:pPr>
              <w:widowControl/>
              <w:spacing w:line="300" w:lineRule="exact"/>
              <w:ind w:firstLine="210" w:firstLineChars="100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出具已获取信息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楷体" w:eastAsia="仿宋_GB2312"/>
              </w:rPr>
            </w:pPr>
            <w:r>
              <w:rPr>
                <w:rFonts w:hint="eastAsia" w:ascii="仿宋_GB2312" w:hAnsi="楷体" w:eastAsia="仿宋_GB2312"/>
              </w:rPr>
              <w:t>1.申请人无正当理由逾期不补正、行政机关不再处理其政府信息公开申请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2.申请人逾期未按收费通知要求缴纳费用、行政机关不再处理其政府信息公开申请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3.其他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（七）总计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四、结转下年度继续办理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</w:tbl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四、</w:t>
      </w:r>
      <w:r>
        <w:rPr>
          <w:rFonts w:hint="eastAsia" w:ascii="黑体" w:hAnsi="黑体" w:eastAsia="黑体" w:cs="黑体"/>
          <w:sz w:val="32"/>
          <w:szCs w:val="32"/>
        </w:rPr>
        <w:t>因政府信息公开工作被申请行政复议、提起行政诉讼情况统计表</w:t>
      </w:r>
    </w:p>
    <w:tbl>
      <w:tblPr>
        <w:tblStyle w:val="6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43" w:leftChars="-21" w:right="-132" w:rightChars="-63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2" w:leftChars="-39" w:right="-97" w:rightChars="-4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</w:t>
            </w:r>
          </w:p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6" w:leftChars="-41" w:right="-88" w:rightChars="-42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99" w:leftChars="-47" w:right="-78" w:rightChars="-37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67" w:leftChars="-33" w:right="-105" w:rightChars="-50" w:hanging="2" w:hangingChars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</w:tr>
    </w:tbl>
    <w:p>
      <w:pPr>
        <w:numPr>
          <w:ilvl w:val="0"/>
          <w:numId w:val="0"/>
        </w:numPr>
        <w:ind w:firstLine="640" w:firstLineChars="200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五、存在主要问题及改进情况</w:t>
      </w:r>
    </w:p>
    <w:p>
      <w:pPr>
        <w:numPr>
          <w:ilvl w:val="0"/>
          <w:numId w:val="0"/>
        </w:numPr>
        <w:ind w:firstLine="640" w:firstLineChars="200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部分工作人员对政府信息公开工作不够熟悉，对公开信息的范围、标准、格式等情况把握不准。针对此类情况，一方面，利用上级政府信息公开培训的机会加强业务学习；另一方面，坚持在干中学、在学中干，在工作实践中提升政府信息公开质量。</w:t>
      </w:r>
    </w:p>
    <w:p>
      <w:pPr>
        <w:numPr>
          <w:ilvl w:val="0"/>
          <w:numId w:val="0"/>
        </w:numPr>
        <w:ind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六、其他需要报告的事项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sectPr>
          <w:pgSz w:w="11906" w:h="16838"/>
          <w:pgMar w:top="1440" w:right="1474" w:bottom="1440" w:left="1588" w:header="851" w:footer="992" w:gutter="0"/>
          <w:pgNumType w:fmt="numberInDash"/>
          <w:cols w:space="425" w:num="1"/>
          <w:docGrid w:type="lines" w:linePitch="312" w:charSpace="0"/>
        </w:sect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无。</w:t>
      </w:r>
    </w:p>
    <w:p>
      <w:pPr>
        <w:bidi w:val="0"/>
        <w:jc w:val="left"/>
        <w:rPr>
          <w:lang w:val="en-US" w:eastAsia="zh-CN"/>
        </w:rPr>
      </w:pPr>
    </w:p>
    <w:sectPr>
      <w:pgSz w:w="11906" w:h="16838"/>
      <w:pgMar w:top="1440" w:right="1474" w:bottom="1440" w:left="1588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等线">
    <w:altName w:val="华文仿宋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 Light">
    <w:altName w:val="华文仿宋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Menlo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decorative"/>
    <w:pitch w:val="default"/>
    <w:sig w:usb0="00000000" w:usb1="00000000" w:usb2="00000000" w:usb3="00000000" w:csb0="00040000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等线 Ligh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center"/>
      <w:rPr>
        <w:rFonts w:ascii="宋体" w:hAnsi="宋体" w:eastAsia="宋体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eastAsia="宋体"/>
                        <w:sz w:val="18"/>
                        <w:lang w:eastAsia="zh-CN"/>
                      </w:rPr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0"/>
  <w:doNotDisplayPageBoundaries w:val="1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BreakWrappedTables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2C34"/>
    <w:rsid w:val="0003350B"/>
    <w:rsid w:val="000500B1"/>
    <w:rsid w:val="0006512C"/>
    <w:rsid w:val="000A57BF"/>
    <w:rsid w:val="000B4F9F"/>
    <w:rsid w:val="000C1FDA"/>
    <w:rsid w:val="00121655"/>
    <w:rsid w:val="00123E53"/>
    <w:rsid w:val="001679FF"/>
    <w:rsid w:val="00180B4F"/>
    <w:rsid w:val="00196721"/>
    <w:rsid w:val="001F026B"/>
    <w:rsid w:val="00203F15"/>
    <w:rsid w:val="00211F6A"/>
    <w:rsid w:val="00243BAF"/>
    <w:rsid w:val="00286BF3"/>
    <w:rsid w:val="002B58BB"/>
    <w:rsid w:val="00315DDF"/>
    <w:rsid w:val="00333740"/>
    <w:rsid w:val="00372E47"/>
    <w:rsid w:val="00384B12"/>
    <w:rsid w:val="00392DAD"/>
    <w:rsid w:val="003C1943"/>
    <w:rsid w:val="004162E7"/>
    <w:rsid w:val="00463EF5"/>
    <w:rsid w:val="004D3C2B"/>
    <w:rsid w:val="004D6D24"/>
    <w:rsid w:val="00502C34"/>
    <w:rsid w:val="00515416"/>
    <w:rsid w:val="00531FBB"/>
    <w:rsid w:val="00552F1D"/>
    <w:rsid w:val="005548EB"/>
    <w:rsid w:val="00612182"/>
    <w:rsid w:val="00683E94"/>
    <w:rsid w:val="006B5301"/>
    <w:rsid w:val="006E2A67"/>
    <w:rsid w:val="00760120"/>
    <w:rsid w:val="007E43CD"/>
    <w:rsid w:val="008244CB"/>
    <w:rsid w:val="00846109"/>
    <w:rsid w:val="00851E51"/>
    <w:rsid w:val="008C68B1"/>
    <w:rsid w:val="00923DE3"/>
    <w:rsid w:val="00990BC0"/>
    <w:rsid w:val="009D1EAC"/>
    <w:rsid w:val="00A9562B"/>
    <w:rsid w:val="00AC0838"/>
    <w:rsid w:val="00AC0B55"/>
    <w:rsid w:val="00B0360E"/>
    <w:rsid w:val="00B06CEF"/>
    <w:rsid w:val="00B82BD5"/>
    <w:rsid w:val="00B846A3"/>
    <w:rsid w:val="00BA1959"/>
    <w:rsid w:val="00BB1402"/>
    <w:rsid w:val="00BD1F13"/>
    <w:rsid w:val="00BD2DFA"/>
    <w:rsid w:val="00BF2FF7"/>
    <w:rsid w:val="00C106D4"/>
    <w:rsid w:val="00C24C5F"/>
    <w:rsid w:val="00C74995"/>
    <w:rsid w:val="00CA2A1F"/>
    <w:rsid w:val="00CE332F"/>
    <w:rsid w:val="00D206E1"/>
    <w:rsid w:val="00DD7168"/>
    <w:rsid w:val="00DF3523"/>
    <w:rsid w:val="00DF7D80"/>
    <w:rsid w:val="00ED6874"/>
    <w:rsid w:val="00ED698F"/>
    <w:rsid w:val="00EE7943"/>
    <w:rsid w:val="00F01622"/>
    <w:rsid w:val="00F03027"/>
    <w:rsid w:val="00F42818"/>
    <w:rsid w:val="00F57A9C"/>
    <w:rsid w:val="00F7173D"/>
    <w:rsid w:val="00F90155"/>
    <w:rsid w:val="00FC01CB"/>
    <w:rsid w:val="00FF3FF5"/>
    <w:rsid w:val="00FF65C3"/>
    <w:rsid w:val="05C34486"/>
    <w:rsid w:val="0E245572"/>
    <w:rsid w:val="145B3474"/>
    <w:rsid w:val="14716495"/>
    <w:rsid w:val="14C57350"/>
    <w:rsid w:val="14E64D04"/>
    <w:rsid w:val="1637506A"/>
    <w:rsid w:val="25982EAB"/>
    <w:rsid w:val="29766412"/>
    <w:rsid w:val="2A580712"/>
    <w:rsid w:val="2BEC02D0"/>
    <w:rsid w:val="3118459C"/>
    <w:rsid w:val="3267367B"/>
    <w:rsid w:val="337B0E24"/>
    <w:rsid w:val="37595426"/>
    <w:rsid w:val="377A5A96"/>
    <w:rsid w:val="395615C6"/>
    <w:rsid w:val="3B711E8F"/>
    <w:rsid w:val="3BA0372A"/>
    <w:rsid w:val="3C787E8C"/>
    <w:rsid w:val="3E1D5959"/>
    <w:rsid w:val="3F0E1E59"/>
    <w:rsid w:val="45CD59C3"/>
    <w:rsid w:val="4E7A2FE6"/>
    <w:rsid w:val="54A1578A"/>
    <w:rsid w:val="55723134"/>
    <w:rsid w:val="5624337B"/>
    <w:rsid w:val="57EA528D"/>
    <w:rsid w:val="58A264FA"/>
    <w:rsid w:val="601C5E1C"/>
    <w:rsid w:val="7FAF2027"/>
    <w:rsid w:val="9BDD451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qFormat="1" w:uiPriority="99" w:semiHidden="0" w:name="HTML Code"/>
    <w:lsdException w:qFormat="1" w:uiPriority="99" w:semiHidden="0" w:name="HTML Definition"/>
    <w:lsdException w:qFormat="1" w:uiPriority="99" w:semiHidden="0" w:name="HTML Keyboard"/>
    <w:lsdException w:uiPriority="99" w:name="HTML Preformatted"/>
    <w:lsdException w:qFormat="1" w:uiPriority="99" w:semiHidden="0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7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8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character" w:default="1" w:styleId="7">
    <w:name w:val="Default Paragraph Font"/>
    <w:unhideWhenUsed/>
    <w:qFormat/>
    <w:uiPriority w:val="1"/>
  </w:style>
  <w:style w:type="table" w:default="1" w:styleId="6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link w:val="1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Strong"/>
    <w:basedOn w:val="7"/>
    <w:qFormat/>
    <w:uiPriority w:val="22"/>
    <w:rPr>
      <w:b/>
    </w:rPr>
  </w:style>
  <w:style w:type="character" w:styleId="9">
    <w:name w:val="FollowedHyperlink"/>
    <w:basedOn w:val="7"/>
    <w:unhideWhenUsed/>
    <w:qFormat/>
    <w:uiPriority w:val="99"/>
    <w:rPr>
      <w:color w:val="337AB7"/>
      <w:u w:val="single"/>
    </w:rPr>
  </w:style>
  <w:style w:type="character" w:styleId="10">
    <w:name w:val="HTML Definition"/>
    <w:basedOn w:val="7"/>
    <w:unhideWhenUsed/>
    <w:qFormat/>
    <w:uiPriority w:val="99"/>
    <w:rPr>
      <w:i/>
    </w:rPr>
  </w:style>
  <w:style w:type="character" w:styleId="11">
    <w:name w:val="Hyperlink"/>
    <w:basedOn w:val="7"/>
    <w:unhideWhenUsed/>
    <w:qFormat/>
    <w:uiPriority w:val="99"/>
    <w:rPr>
      <w:color w:val="337AB7"/>
      <w:u w:val="single"/>
    </w:rPr>
  </w:style>
  <w:style w:type="character" w:styleId="12">
    <w:name w:val="HTML Code"/>
    <w:basedOn w:val="7"/>
    <w:unhideWhenUsed/>
    <w:qFormat/>
    <w:uiPriority w:val="99"/>
    <w:rPr>
      <w:rFonts w:ascii="Menlo" w:hAnsi="Menlo" w:eastAsia="Menlo" w:cs="Menlo"/>
      <w:color w:val="C7254E"/>
      <w:sz w:val="21"/>
      <w:szCs w:val="21"/>
      <w:shd w:val="clear" w:fill="F9F2F4"/>
    </w:rPr>
  </w:style>
  <w:style w:type="character" w:styleId="13">
    <w:name w:val="HTML Keyboard"/>
    <w:basedOn w:val="7"/>
    <w:unhideWhenUsed/>
    <w:qFormat/>
    <w:uiPriority w:val="99"/>
    <w:rPr>
      <w:rFonts w:hint="default" w:ascii="Menlo" w:hAnsi="Menlo" w:eastAsia="Menlo" w:cs="Menlo"/>
      <w:color w:val="FFFFFF"/>
      <w:sz w:val="21"/>
      <w:szCs w:val="21"/>
      <w:shd w:val="clear" w:fill="333333"/>
    </w:rPr>
  </w:style>
  <w:style w:type="character" w:styleId="14">
    <w:name w:val="HTML Sample"/>
    <w:basedOn w:val="7"/>
    <w:unhideWhenUsed/>
    <w:qFormat/>
    <w:uiPriority w:val="99"/>
    <w:rPr>
      <w:rFonts w:hint="default" w:ascii="Menlo" w:hAnsi="Menlo" w:eastAsia="Menlo" w:cs="Menlo"/>
      <w:sz w:val="21"/>
      <w:szCs w:val="21"/>
    </w:rPr>
  </w:style>
  <w:style w:type="character" w:customStyle="1" w:styleId="15">
    <w:name w:val="页眉 字符"/>
    <w:basedOn w:val="7"/>
    <w:link w:val="5"/>
    <w:qFormat/>
    <w:uiPriority w:val="99"/>
    <w:rPr>
      <w:sz w:val="18"/>
      <w:szCs w:val="18"/>
    </w:rPr>
  </w:style>
  <w:style w:type="character" w:customStyle="1" w:styleId="16">
    <w:name w:val="页脚 字符"/>
    <w:basedOn w:val="7"/>
    <w:link w:val="4"/>
    <w:qFormat/>
    <w:uiPriority w:val="99"/>
    <w:rPr>
      <w:sz w:val="18"/>
      <w:szCs w:val="18"/>
    </w:rPr>
  </w:style>
  <w:style w:type="character" w:customStyle="1" w:styleId="17">
    <w:name w:val="标题 1 字符"/>
    <w:basedOn w:val="7"/>
    <w:link w:val="2"/>
    <w:qFormat/>
    <w:uiPriority w:val="9"/>
    <w:rPr>
      <w:b/>
      <w:bCs/>
      <w:kern w:val="44"/>
      <w:sz w:val="44"/>
      <w:szCs w:val="44"/>
    </w:rPr>
  </w:style>
  <w:style w:type="character" w:customStyle="1" w:styleId="18">
    <w:name w:val="标题 2 字符"/>
    <w:basedOn w:val="7"/>
    <w:link w:val="3"/>
    <w:qFormat/>
    <w:uiPriority w:val="9"/>
    <w:rPr>
      <w:rFonts w:asciiTheme="majorHAnsi" w:hAnsiTheme="majorHAnsi" w:eastAsiaTheme="majorEastAsia" w:cstheme="majorBidi"/>
      <w:b/>
      <w:bCs/>
      <w:sz w:val="32"/>
      <w:szCs w:val="32"/>
    </w:rPr>
  </w:style>
  <w:style w:type="paragraph" w:customStyle="1" w:styleId="19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1685</Words>
  <Characters>1723</Characters>
  <Lines>75</Lines>
  <Paragraphs>21</Paragraphs>
  <TotalTime>0</TotalTime>
  <ScaleCrop>false</ScaleCrop>
  <LinksUpToDate>false</LinksUpToDate>
  <CharactersWithSpaces>1723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2021-09-03T23:57:00Z</dcterms:created>
  <dc:creator>qiyuanhua0168@163.com</dc:creator>
  <cp:lastModifiedBy>Administrator</cp:lastModifiedBy>
  <cp:lastPrinted>2021-12-06T17:42:00Z</cp:lastPrinted>
  <dcterms:modified xsi:type="dcterms:W3CDTF">2022-01-17T07:08:14Z</dcterms:modified>
  <cp:revision>29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