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47DB8">
      <w:pPr>
        <w:tabs>
          <w:tab w:val="center" w:pos="4507"/>
        </w:tabs>
        <w:spacing w:line="578" w:lineRule="exact"/>
        <w:jc w:val="left"/>
        <w:rPr>
          <w:rFonts w:ascii="宋体" w:hAnsi="宋体"/>
          <w:sz w:val="44"/>
        </w:rPr>
      </w:pPr>
    </w:p>
    <w:p w14:paraId="5AA6079A">
      <w:pPr>
        <w:adjustRightInd w:val="0"/>
        <w:snapToGrid w:val="0"/>
        <w:spacing w:line="578" w:lineRule="exact"/>
        <w:jc w:val="center"/>
        <w:rPr>
          <w:rFonts w:eastAsia="方正小标宋简体"/>
          <w:sz w:val="44"/>
          <w:szCs w:val="44"/>
        </w:rPr>
      </w:pPr>
      <w:r>
        <w:rPr>
          <w:rFonts w:eastAsia="方正小标宋简体"/>
          <w:sz w:val="44"/>
          <w:szCs w:val="44"/>
        </w:rPr>
        <w:t>威海火炬高技术产业开发区管理委员会</w:t>
      </w:r>
    </w:p>
    <w:p w14:paraId="24BEAE7C">
      <w:pPr>
        <w:adjustRightInd w:val="0"/>
        <w:snapToGrid w:val="0"/>
        <w:spacing w:line="578" w:lineRule="exact"/>
        <w:jc w:val="center"/>
        <w:rPr>
          <w:rFonts w:hint="eastAsia" w:eastAsia="方正小标宋简体"/>
          <w:sz w:val="44"/>
          <w:szCs w:val="44"/>
          <w:lang w:val="en-US" w:eastAsia="zh-CN"/>
        </w:rPr>
      </w:pPr>
      <w:r>
        <w:rPr>
          <w:rFonts w:hint="eastAsia" w:eastAsia="方正小标宋简体"/>
          <w:sz w:val="44"/>
          <w:szCs w:val="44"/>
          <w:lang w:val="en-US" w:eastAsia="zh-CN"/>
        </w:rPr>
        <w:t>关于公布威海火炬高技术产业开发区第四批</w:t>
      </w:r>
    </w:p>
    <w:p w14:paraId="581A0BCC">
      <w:pPr>
        <w:adjustRightInd w:val="0"/>
        <w:snapToGrid w:val="0"/>
        <w:spacing w:line="578" w:lineRule="exact"/>
        <w:jc w:val="center"/>
        <w:rPr>
          <w:rFonts w:hint="default" w:eastAsia="方正小标宋简体"/>
          <w:spacing w:val="6"/>
          <w:sz w:val="44"/>
          <w:szCs w:val="44"/>
          <w:lang w:val="en-US" w:eastAsia="zh-CN"/>
        </w:rPr>
      </w:pPr>
      <w:r>
        <w:rPr>
          <w:rFonts w:hint="eastAsia" w:eastAsia="方正小标宋简体"/>
          <w:spacing w:val="6"/>
          <w:sz w:val="44"/>
          <w:szCs w:val="44"/>
          <w:lang w:val="en-US" w:eastAsia="zh-CN"/>
        </w:rPr>
        <w:t>区级非物质文化遗产代表性项目名录的通知</w:t>
      </w:r>
    </w:p>
    <w:p w14:paraId="3D582293">
      <w:pPr>
        <w:snapToGrid w:val="0"/>
        <w:spacing w:line="578" w:lineRule="exact"/>
        <w:jc w:val="left"/>
        <w:rPr>
          <w:rFonts w:eastAsia="仿宋_GB2312"/>
          <w:sz w:val="32"/>
        </w:rPr>
      </w:pPr>
    </w:p>
    <w:p w14:paraId="04F92F27">
      <w:pPr>
        <w:keepNext w:val="0"/>
        <w:keepLines w:val="0"/>
        <w:pageBreakBefore w:val="0"/>
        <w:widowControl w:val="0"/>
        <w:kinsoku/>
        <w:wordWrap/>
        <w:overflowPunct/>
        <w:topLinePunct w:val="0"/>
        <w:autoSpaceDE/>
        <w:autoSpaceDN/>
        <w:bidi w:val="0"/>
        <w:adjustRightInd/>
        <w:snapToGrid w:val="0"/>
        <w:spacing w:line="578" w:lineRule="exact"/>
        <w:jc w:val="left"/>
        <w:textAlignment w:val="auto"/>
        <w:rPr>
          <w:rFonts w:hint="eastAsia" w:eastAsia="仿宋_GB2312"/>
          <w:sz w:val="32"/>
          <w:lang w:eastAsia="zh-CN"/>
        </w:rPr>
      </w:pPr>
      <w:r>
        <w:rPr>
          <w:rFonts w:hint="eastAsia" w:eastAsia="仿宋_GB2312"/>
          <w:sz w:val="32"/>
          <w:lang w:val="en-US" w:eastAsia="zh-CN"/>
        </w:rPr>
        <w:t>区直各部门，各镇、街道，驻区各单位</w:t>
      </w:r>
      <w:r>
        <w:rPr>
          <w:rFonts w:hint="eastAsia" w:eastAsia="仿宋_GB2312"/>
          <w:sz w:val="32"/>
          <w:lang w:eastAsia="zh-CN"/>
        </w:rPr>
        <w:t>：</w:t>
      </w:r>
    </w:p>
    <w:p w14:paraId="720DEEC1">
      <w:pPr>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现将威海火炬高技术产业开发区第四批区级非物质文化遗产代表性项目名录予以公布。各部门、单位要认真贯彻《中华人民共和国</w:t>
      </w:r>
      <w:bookmarkStart w:id="0" w:name="OLE_LINK1"/>
      <w:r>
        <w:rPr>
          <w:rFonts w:hint="eastAsia" w:ascii="仿宋_GB2312" w:eastAsia="仿宋_GB2312"/>
          <w:sz w:val="32"/>
          <w:szCs w:val="32"/>
          <w:lang w:val="en-US" w:eastAsia="zh-CN"/>
        </w:rPr>
        <w:t>非物质文化遗产法</w:t>
      </w:r>
      <w:bookmarkEnd w:id="0"/>
      <w:r>
        <w:rPr>
          <w:rFonts w:hint="eastAsia" w:ascii="仿宋_GB2312" w:eastAsia="仿宋_GB2312"/>
          <w:sz w:val="32"/>
          <w:szCs w:val="32"/>
          <w:lang w:val="en-US" w:eastAsia="zh-CN"/>
        </w:rPr>
        <w:t>》，坚持“保护为主、抢救第一、合理利用、传承发展”的原则，加强非遗保护和普及宣传，扎实做好非物质文化遗产的传承和管理工作，继承和弘扬好优秀传统文化。</w:t>
      </w:r>
    </w:p>
    <w:p w14:paraId="4929D9F9">
      <w:pPr>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hint="eastAsia" w:ascii="仿宋_GB2312" w:eastAsia="仿宋_GB2312"/>
          <w:sz w:val="32"/>
          <w:szCs w:val="32"/>
          <w:lang w:val="en-US" w:eastAsia="zh-CN"/>
        </w:rPr>
      </w:pPr>
    </w:p>
    <w:p w14:paraId="223A0D00">
      <w:pPr>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附件：威海火炬高技术产业开发区第四批区级非物质文化遗</w:t>
      </w:r>
    </w:p>
    <w:p w14:paraId="5A87B17B">
      <w:pPr>
        <w:keepNext w:val="0"/>
        <w:keepLines w:val="0"/>
        <w:pageBreakBefore w:val="0"/>
        <w:widowControl w:val="0"/>
        <w:kinsoku/>
        <w:wordWrap/>
        <w:overflowPunct/>
        <w:topLinePunct w:val="0"/>
        <w:autoSpaceDE/>
        <w:autoSpaceDN/>
        <w:bidi w:val="0"/>
        <w:adjustRightInd/>
        <w:spacing w:line="578" w:lineRule="exact"/>
        <w:ind w:firstLine="1600" w:firstLineChars="5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产代表性项目名录</w:t>
      </w:r>
    </w:p>
    <w:p w14:paraId="698149AF">
      <w:pPr>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ascii="仿宋_GB2312" w:eastAsia="仿宋_GB2312"/>
          <w:sz w:val="32"/>
          <w:szCs w:val="32"/>
        </w:rPr>
      </w:pPr>
    </w:p>
    <w:p w14:paraId="76094EE7">
      <w:pPr>
        <w:keepNext w:val="0"/>
        <w:keepLines w:val="0"/>
        <w:pageBreakBefore w:val="0"/>
        <w:widowControl w:val="0"/>
        <w:kinsoku/>
        <w:wordWrap/>
        <w:overflowPunct/>
        <w:topLinePunct w:val="0"/>
        <w:autoSpaceDE/>
        <w:autoSpaceDN/>
        <w:bidi w:val="0"/>
        <w:adjustRightInd/>
        <w:spacing w:line="578" w:lineRule="exact"/>
        <w:ind w:firstLine="3200" w:firstLineChars="1000"/>
        <w:textAlignment w:val="auto"/>
        <w:rPr>
          <w:rFonts w:ascii="仿宋_GB2312" w:eastAsia="仿宋_GB2312" w:cs="仿宋_GB2312"/>
          <w:sz w:val="32"/>
          <w:szCs w:val="32"/>
        </w:rPr>
      </w:pPr>
      <w:r>
        <w:rPr>
          <w:rFonts w:hint="eastAsia" w:ascii="仿宋_GB2312" w:eastAsia="仿宋_GB2312" w:cs="仿宋_GB2312"/>
          <w:sz w:val="32"/>
          <w:szCs w:val="32"/>
        </w:rPr>
        <w:t>威海火炬高技术产业开发区管理委员会</w:t>
      </w:r>
    </w:p>
    <w:p w14:paraId="4836DAA4">
      <w:pPr>
        <w:keepNext w:val="0"/>
        <w:keepLines w:val="0"/>
        <w:pageBreakBefore w:val="0"/>
        <w:widowControl w:val="0"/>
        <w:kinsoku/>
        <w:wordWrap/>
        <w:overflowPunct/>
        <w:topLinePunct w:val="0"/>
        <w:autoSpaceDE/>
        <w:autoSpaceDN/>
        <w:bidi w:val="0"/>
        <w:adjustRightInd/>
        <w:spacing w:line="578" w:lineRule="exact"/>
        <w:ind w:firstLine="4800" w:firstLineChars="1500"/>
        <w:textAlignment w:val="auto"/>
        <w:rPr>
          <w:rFonts w:ascii="仿宋_GB2312" w:eastAsia="仿宋_GB2312" w:cs="仿宋_GB2312"/>
          <w:sz w:val="32"/>
          <w:szCs w:val="32"/>
        </w:rPr>
      </w:pPr>
      <w:r>
        <w:rPr>
          <w:rFonts w:eastAsia="仿宋_GB2312"/>
          <w:sz w:val="32"/>
          <w:szCs w:val="32"/>
        </w:rPr>
        <w:t>20</w:t>
      </w:r>
      <w:r>
        <w:rPr>
          <w:rFonts w:hint="eastAsia" w:eastAsia="仿宋_GB2312"/>
          <w:sz w:val="32"/>
          <w:szCs w:val="32"/>
          <w:lang w:val="en-US" w:eastAsia="zh-CN"/>
        </w:rPr>
        <w:t>26</w:t>
      </w:r>
      <w:r>
        <w:rPr>
          <w:rFonts w:hint="eastAsia" w:ascii="仿宋_GB2312" w:eastAsia="仿宋_GB2312" w:cs="仿宋_GB2312"/>
          <w:sz w:val="32"/>
          <w:szCs w:val="32"/>
        </w:rPr>
        <w:t>年</w:t>
      </w: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rPr>
        <w:t>月</w:t>
      </w:r>
      <w:r>
        <w:rPr>
          <w:rFonts w:hint="eastAsia" w:eastAsia="仿宋_GB2312" w:cs="Times New Roman"/>
          <w:sz w:val="32"/>
          <w:szCs w:val="32"/>
          <w:lang w:val="en-US" w:eastAsia="zh-CN"/>
        </w:rPr>
        <w:t>30</w:t>
      </w:r>
      <w:r>
        <w:rPr>
          <w:rFonts w:hint="eastAsia" w:ascii="仿宋_GB2312" w:eastAsia="仿宋_GB2312" w:cs="仿宋_GB2312"/>
          <w:sz w:val="32"/>
          <w:szCs w:val="32"/>
        </w:rPr>
        <w:t>日</w:t>
      </w:r>
    </w:p>
    <w:p w14:paraId="54FB9424">
      <w:pPr>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（此件公开发布）</w:t>
      </w:r>
    </w:p>
    <w:p w14:paraId="78B57151">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ascii="Times New Roman" w:hAnsi="Times New Roman" w:eastAsia="仿宋_GB2312" w:cs="Times New Roman"/>
          <w:sz w:val="32"/>
          <w:szCs w:val="32"/>
        </w:rPr>
      </w:pPr>
    </w:p>
    <w:p w14:paraId="013308AF">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0F0F1569">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right="0" w:rightChars="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14:paraId="67F87188">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right="0" w:rightChars="0"/>
        <w:jc w:val="center"/>
        <w:textAlignment w:val="auto"/>
        <w:rPr>
          <w:rFonts w:hint="eastAsia" w:ascii="方正小标宋简体" w:hAnsi="方正小标宋简体" w:eastAsia="方正小标宋简体" w:cs="方正小标宋简体"/>
          <w:sz w:val="44"/>
          <w:szCs w:val="44"/>
          <w:lang w:eastAsia="zh-CN"/>
        </w:rPr>
      </w:pPr>
    </w:p>
    <w:p w14:paraId="2A38EBAE">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威海</w:t>
      </w:r>
      <w:r>
        <w:rPr>
          <w:rFonts w:hint="eastAsia" w:ascii="方正小标宋简体" w:hAnsi="方正小标宋简体" w:eastAsia="方正小标宋简体" w:cs="方正小标宋简体"/>
          <w:sz w:val="44"/>
          <w:szCs w:val="44"/>
          <w:lang w:eastAsia="zh-CN"/>
        </w:rPr>
        <w:t>火炬</w:t>
      </w:r>
      <w:r>
        <w:rPr>
          <w:rFonts w:hint="eastAsia" w:ascii="方正小标宋简体" w:hAnsi="方正小标宋简体" w:eastAsia="方正小标宋简体" w:cs="方正小标宋简体"/>
          <w:sz w:val="44"/>
          <w:szCs w:val="44"/>
        </w:rPr>
        <w:t>高技术产业开发区第</w:t>
      </w:r>
      <w:r>
        <w:rPr>
          <w:rFonts w:hint="eastAsia" w:ascii="方正小标宋简体" w:hAnsi="方正小标宋简体" w:eastAsia="方正小标宋简体" w:cs="方正小标宋简体"/>
          <w:sz w:val="44"/>
          <w:szCs w:val="44"/>
          <w:lang w:val="en-US" w:eastAsia="zh-CN"/>
        </w:rPr>
        <w:t>四</w:t>
      </w:r>
      <w:r>
        <w:rPr>
          <w:rFonts w:hint="eastAsia" w:ascii="方正小标宋简体" w:hAnsi="方正小标宋简体" w:eastAsia="方正小标宋简体" w:cs="方正小标宋简体"/>
          <w:sz w:val="44"/>
          <w:szCs w:val="44"/>
        </w:rPr>
        <w:t>批区级非物质</w:t>
      </w:r>
    </w:p>
    <w:p w14:paraId="262E3C05">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文化遗产代表性项目名录</w:t>
      </w:r>
    </w:p>
    <w:tbl>
      <w:tblPr>
        <w:tblStyle w:val="13"/>
        <w:tblW w:w="63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7"/>
        <w:gridCol w:w="993"/>
        <w:gridCol w:w="2936"/>
        <w:gridCol w:w="1609"/>
      </w:tblGrid>
      <w:tr w14:paraId="0D54B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36FB7E4C">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序号</w:t>
            </w:r>
          </w:p>
        </w:tc>
        <w:tc>
          <w:tcPr>
            <w:tcW w:w="993" w:type="dxa"/>
            <w:noWrap w:val="0"/>
            <w:vAlign w:val="center"/>
          </w:tcPr>
          <w:p w14:paraId="501B8A88">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黑体" w:hAnsi="黑体" w:eastAsia="黑体" w:cs="黑体"/>
                <w:sz w:val="28"/>
                <w:szCs w:val="28"/>
              </w:rPr>
            </w:pPr>
            <w:r>
              <w:rPr>
                <w:rFonts w:ascii="黑体" w:hAnsi="黑体" w:eastAsia="黑体" w:cs="黑体"/>
                <w:spacing w:val="-4"/>
                <w:sz w:val="28"/>
                <w:szCs w:val="28"/>
              </w:rPr>
              <w:t>编号</w:t>
            </w:r>
          </w:p>
        </w:tc>
        <w:tc>
          <w:tcPr>
            <w:tcW w:w="2936" w:type="dxa"/>
            <w:noWrap w:val="0"/>
            <w:vAlign w:val="center"/>
          </w:tcPr>
          <w:p w14:paraId="721E8AB7">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黑体" w:hAnsi="黑体" w:eastAsia="黑体" w:cs="黑体"/>
                <w:sz w:val="28"/>
                <w:szCs w:val="28"/>
              </w:rPr>
            </w:pPr>
            <w:r>
              <w:rPr>
                <w:rFonts w:ascii="黑体" w:hAnsi="黑体" w:eastAsia="黑体" w:cs="黑体"/>
                <w:spacing w:val="-3"/>
                <w:sz w:val="28"/>
                <w:szCs w:val="28"/>
              </w:rPr>
              <w:t>项目名称</w:t>
            </w:r>
          </w:p>
        </w:tc>
        <w:tc>
          <w:tcPr>
            <w:tcW w:w="1609" w:type="dxa"/>
            <w:noWrap w:val="0"/>
            <w:vAlign w:val="center"/>
          </w:tcPr>
          <w:p w14:paraId="65D23B4F">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ascii="黑体" w:hAnsi="黑体" w:eastAsia="黑体" w:cs="黑体"/>
                <w:sz w:val="28"/>
                <w:szCs w:val="28"/>
              </w:rPr>
            </w:pPr>
            <w:r>
              <w:rPr>
                <w:rFonts w:ascii="黑体" w:hAnsi="黑体" w:eastAsia="黑体" w:cs="黑体"/>
                <w:spacing w:val="-3"/>
                <w:sz w:val="28"/>
                <w:szCs w:val="28"/>
              </w:rPr>
              <w:t>项目类别</w:t>
            </w:r>
          </w:p>
        </w:tc>
      </w:tr>
      <w:tr w14:paraId="5DD4D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208FA2A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993" w:type="dxa"/>
            <w:noWrap w:val="0"/>
            <w:vAlign w:val="center"/>
          </w:tcPr>
          <w:p w14:paraId="3983F3F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Ⅷ-1</w:t>
            </w:r>
          </w:p>
        </w:tc>
        <w:tc>
          <w:tcPr>
            <w:tcW w:w="2936" w:type="dxa"/>
            <w:noWrap w:val="0"/>
            <w:vAlign w:val="center"/>
          </w:tcPr>
          <w:p w14:paraId="7D38D0E6">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中草药合香珠饰品制作技艺</w:t>
            </w:r>
          </w:p>
        </w:tc>
        <w:tc>
          <w:tcPr>
            <w:tcW w:w="1609" w:type="dxa"/>
            <w:noWrap w:val="0"/>
            <w:vAlign w:val="center"/>
          </w:tcPr>
          <w:p w14:paraId="736B826A">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0D95C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04BB59D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993" w:type="dxa"/>
            <w:noWrap w:val="0"/>
            <w:vAlign w:val="center"/>
          </w:tcPr>
          <w:p w14:paraId="595E5B6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Ⅷ-2</w:t>
            </w:r>
          </w:p>
        </w:tc>
        <w:tc>
          <w:tcPr>
            <w:tcW w:w="2936" w:type="dxa"/>
            <w:noWrap w:val="0"/>
            <w:vAlign w:val="center"/>
          </w:tcPr>
          <w:p w14:paraId="5DEB3AB9">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王氏碳烤大虾制作技艺</w:t>
            </w:r>
          </w:p>
        </w:tc>
        <w:tc>
          <w:tcPr>
            <w:tcW w:w="1609" w:type="dxa"/>
            <w:noWrap w:val="0"/>
            <w:vAlign w:val="center"/>
          </w:tcPr>
          <w:p w14:paraId="618E417E">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0B58B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3480052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993" w:type="dxa"/>
            <w:noWrap w:val="0"/>
            <w:vAlign w:val="center"/>
          </w:tcPr>
          <w:p w14:paraId="4CE3B1D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Ⅷ-3</w:t>
            </w:r>
          </w:p>
        </w:tc>
        <w:tc>
          <w:tcPr>
            <w:tcW w:w="2936" w:type="dxa"/>
            <w:noWrap w:val="0"/>
            <w:vAlign w:val="center"/>
          </w:tcPr>
          <w:p w14:paraId="0E82A8B4">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风干鳗鱼制作技艺</w:t>
            </w:r>
          </w:p>
        </w:tc>
        <w:tc>
          <w:tcPr>
            <w:tcW w:w="1609" w:type="dxa"/>
            <w:noWrap w:val="0"/>
            <w:vAlign w:val="center"/>
          </w:tcPr>
          <w:p w14:paraId="29B9669C">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49ED6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11A0ED5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993" w:type="dxa"/>
            <w:noWrap w:val="0"/>
            <w:vAlign w:val="center"/>
          </w:tcPr>
          <w:p w14:paraId="09D895F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Ⅷ-4</w:t>
            </w:r>
          </w:p>
        </w:tc>
        <w:tc>
          <w:tcPr>
            <w:tcW w:w="2936" w:type="dxa"/>
            <w:noWrap w:val="0"/>
            <w:vAlign w:val="center"/>
          </w:tcPr>
          <w:p w14:paraId="567D5A0A">
            <w:pPr>
              <w:pStyle w:val="14"/>
              <w:keepNext w:val="0"/>
              <w:keepLines w:val="0"/>
              <w:pageBreakBefore w:val="0"/>
              <w:widowControl w:val="0"/>
              <w:kinsoku/>
              <w:wordWrap/>
              <w:overflowPunct/>
              <w:topLinePunct w:val="0"/>
              <w:autoSpaceDE/>
              <w:autoSpaceDN/>
              <w:bidi w:val="0"/>
              <w:adjustRightInd/>
              <w:snapToGrid w:val="0"/>
              <w:spacing w:line="560" w:lineRule="exact"/>
              <w:ind w:right="168"/>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臭刀鱼制作技艺</w:t>
            </w:r>
          </w:p>
        </w:tc>
        <w:tc>
          <w:tcPr>
            <w:tcW w:w="1609" w:type="dxa"/>
            <w:noWrap w:val="0"/>
            <w:vAlign w:val="center"/>
          </w:tcPr>
          <w:p w14:paraId="4D32D648">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26E60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537657D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993" w:type="dxa"/>
            <w:noWrap w:val="0"/>
            <w:vAlign w:val="center"/>
          </w:tcPr>
          <w:p w14:paraId="3392140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Ⅷ-5</w:t>
            </w:r>
          </w:p>
        </w:tc>
        <w:tc>
          <w:tcPr>
            <w:tcW w:w="2936" w:type="dxa"/>
            <w:noWrap w:val="0"/>
            <w:vAlign w:val="center"/>
          </w:tcPr>
          <w:p w14:paraId="5267580C">
            <w:pPr>
              <w:pStyle w:val="14"/>
              <w:keepNext w:val="0"/>
              <w:keepLines w:val="0"/>
              <w:pageBreakBefore w:val="0"/>
              <w:widowControl w:val="0"/>
              <w:kinsoku/>
              <w:wordWrap/>
              <w:overflowPunct/>
              <w:topLinePunct w:val="0"/>
              <w:autoSpaceDE/>
              <w:autoSpaceDN/>
              <w:bidi w:val="0"/>
              <w:adjustRightInd/>
              <w:snapToGrid w:val="0"/>
              <w:spacing w:line="560" w:lineRule="exact"/>
              <w:ind w:right="168"/>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海肠捞饭</w:t>
            </w:r>
          </w:p>
        </w:tc>
        <w:tc>
          <w:tcPr>
            <w:tcW w:w="1609" w:type="dxa"/>
            <w:noWrap w:val="0"/>
            <w:vAlign w:val="center"/>
          </w:tcPr>
          <w:p w14:paraId="27024C94">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67D6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72CDC32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993" w:type="dxa"/>
            <w:noWrap w:val="0"/>
            <w:vAlign w:val="center"/>
          </w:tcPr>
          <w:p w14:paraId="78B148B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Ⅷ-6</w:t>
            </w:r>
          </w:p>
        </w:tc>
        <w:tc>
          <w:tcPr>
            <w:tcW w:w="2936" w:type="dxa"/>
            <w:noWrap w:val="0"/>
            <w:vAlign w:val="center"/>
          </w:tcPr>
          <w:p w14:paraId="5A4CDD53">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鲜鲍东坡蹄焖鸡</w:t>
            </w:r>
          </w:p>
        </w:tc>
        <w:tc>
          <w:tcPr>
            <w:tcW w:w="1609" w:type="dxa"/>
            <w:noWrap w:val="0"/>
            <w:vAlign w:val="center"/>
          </w:tcPr>
          <w:p w14:paraId="0683DDBC">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0EC9E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261B08B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993" w:type="dxa"/>
            <w:noWrap w:val="0"/>
            <w:vAlign w:val="center"/>
          </w:tcPr>
          <w:p w14:paraId="0F54CF4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Ⅷ-7</w:t>
            </w:r>
          </w:p>
        </w:tc>
        <w:tc>
          <w:tcPr>
            <w:tcW w:w="2936" w:type="dxa"/>
            <w:noWrap w:val="0"/>
            <w:vAlign w:val="center"/>
          </w:tcPr>
          <w:p w14:paraId="30765CBF">
            <w:pPr>
              <w:pStyle w:val="14"/>
              <w:keepNext w:val="0"/>
              <w:keepLines w:val="0"/>
              <w:pageBreakBefore w:val="0"/>
              <w:widowControl w:val="0"/>
              <w:kinsoku/>
              <w:wordWrap/>
              <w:overflowPunct/>
              <w:topLinePunct w:val="0"/>
              <w:autoSpaceDE/>
              <w:autoSpaceDN/>
              <w:bidi w:val="0"/>
              <w:adjustRightInd/>
              <w:snapToGrid w:val="0"/>
              <w:spacing w:line="560" w:lineRule="exact"/>
              <w:ind w:right="105"/>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4"/>
                <w:sz w:val="24"/>
                <w:szCs w:val="24"/>
              </w:rPr>
              <w:t>老威海五鲜锅贴制作技艺</w:t>
            </w:r>
          </w:p>
        </w:tc>
        <w:tc>
          <w:tcPr>
            <w:tcW w:w="1609" w:type="dxa"/>
            <w:noWrap w:val="0"/>
            <w:vAlign w:val="center"/>
          </w:tcPr>
          <w:p w14:paraId="06450948">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7A2A1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75CF774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w:t>
            </w:r>
          </w:p>
        </w:tc>
        <w:tc>
          <w:tcPr>
            <w:tcW w:w="993" w:type="dxa"/>
            <w:noWrap w:val="0"/>
            <w:vAlign w:val="center"/>
          </w:tcPr>
          <w:p w14:paraId="36B496C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Ⅷ-8</w:t>
            </w:r>
          </w:p>
        </w:tc>
        <w:tc>
          <w:tcPr>
            <w:tcW w:w="2936" w:type="dxa"/>
            <w:noWrap w:val="0"/>
            <w:vAlign w:val="center"/>
          </w:tcPr>
          <w:p w14:paraId="547DAD77">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字画修复技艺</w:t>
            </w:r>
          </w:p>
        </w:tc>
        <w:tc>
          <w:tcPr>
            <w:tcW w:w="1609" w:type="dxa"/>
            <w:noWrap w:val="0"/>
            <w:vAlign w:val="center"/>
          </w:tcPr>
          <w:p w14:paraId="7EFB434B">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1ABB6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64C0EDB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w:t>
            </w:r>
          </w:p>
        </w:tc>
        <w:tc>
          <w:tcPr>
            <w:tcW w:w="993" w:type="dxa"/>
            <w:noWrap w:val="0"/>
            <w:vAlign w:val="center"/>
          </w:tcPr>
          <w:p w14:paraId="46FAA40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Ⅷ-9</w:t>
            </w:r>
          </w:p>
        </w:tc>
        <w:tc>
          <w:tcPr>
            <w:tcW w:w="2936" w:type="dxa"/>
            <w:noWrap w:val="0"/>
            <w:vAlign w:val="center"/>
          </w:tcPr>
          <w:p w14:paraId="19CFDCE5">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威海海韵沉香钩织</w:t>
            </w:r>
          </w:p>
        </w:tc>
        <w:tc>
          <w:tcPr>
            <w:tcW w:w="1609" w:type="dxa"/>
            <w:noWrap w:val="0"/>
            <w:vAlign w:val="center"/>
          </w:tcPr>
          <w:p w14:paraId="0D06F5F3">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1F86D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6D3484D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5"/>
                <w:sz w:val="24"/>
                <w:szCs w:val="24"/>
              </w:rPr>
              <w:t>10</w:t>
            </w:r>
          </w:p>
        </w:tc>
        <w:tc>
          <w:tcPr>
            <w:tcW w:w="993" w:type="dxa"/>
            <w:noWrap w:val="0"/>
            <w:vAlign w:val="center"/>
          </w:tcPr>
          <w:p w14:paraId="2AEB3CF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Ⅷ-10</w:t>
            </w:r>
          </w:p>
        </w:tc>
        <w:tc>
          <w:tcPr>
            <w:tcW w:w="2936" w:type="dxa"/>
            <w:noWrap w:val="0"/>
            <w:vAlign w:val="center"/>
          </w:tcPr>
          <w:p w14:paraId="565DF1C1">
            <w:pPr>
              <w:pStyle w:val="14"/>
              <w:keepNext w:val="0"/>
              <w:keepLines w:val="0"/>
              <w:pageBreakBefore w:val="0"/>
              <w:widowControl w:val="0"/>
              <w:kinsoku/>
              <w:wordWrap/>
              <w:overflowPunct/>
              <w:topLinePunct w:val="0"/>
              <w:autoSpaceDE/>
              <w:autoSpaceDN/>
              <w:bidi w:val="0"/>
              <w:adjustRightInd/>
              <w:snapToGrid w:val="0"/>
              <w:spacing w:line="560" w:lineRule="exact"/>
              <w:ind w:left="129"/>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威海古法合香制作技艺</w:t>
            </w:r>
          </w:p>
        </w:tc>
        <w:tc>
          <w:tcPr>
            <w:tcW w:w="1609" w:type="dxa"/>
            <w:noWrap w:val="0"/>
            <w:vAlign w:val="center"/>
          </w:tcPr>
          <w:p w14:paraId="5C7E9605">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r w14:paraId="1A8B7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exact"/>
          <w:jc w:val="center"/>
        </w:trPr>
        <w:tc>
          <w:tcPr>
            <w:tcW w:w="857" w:type="dxa"/>
            <w:noWrap w:val="0"/>
            <w:vAlign w:val="center"/>
          </w:tcPr>
          <w:p w14:paraId="55D75F4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5"/>
                <w:sz w:val="24"/>
                <w:szCs w:val="24"/>
              </w:rPr>
              <w:t>11</w:t>
            </w:r>
          </w:p>
        </w:tc>
        <w:tc>
          <w:tcPr>
            <w:tcW w:w="993" w:type="dxa"/>
            <w:noWrap w:val="0"/>
            <w:vAlign w:val="center"/>
          </w:tcPr>
          <w:p w14:paraId="2816E28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
                <w:sz w:val="24"/>
                <w:szCs w:val="24"/>
              </w:rPr>
              <w:t>Ⅷ-11</w:t>
            </w:r>
          </w:p>
        </w:tc>
        <w:tc>
          <w:tcPr>
            <w:tcW w:w="2936" w:type="dxa"/>
            <w:noWrap w:val="0"/>
            <w:vAlign w:val="center"/>
          </w:tcPr>
          <w:p w14:paraId="747A5FD8">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海菜包子传统制作技艺</w:t>
            </w:r>
          </w:p>
        </w:tc>
        <w:tc>
          <w:tcPr>
            <w:tcW w:w="1609" w:type="dxa"/>
            <w:noWrap w:val="0"/>
            <w:vAlign w:val="center"/>
          </w:tcPr>
          <w:p w14:paraId="0C475150">
            <w:pPr>
              <w:pStyle w:val="14"/>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传统技艺</w:t>
            </w:r>
          </w:p>
        </w:tc>
      </w:tr>
    </w:tbl>
    <w:p w14:paraId="0842FD2B">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eastAsia="仿宋_GB2312"/>
          <w:lang w:val="en-US" w:eastAsia="zh-CN"/>
        </w:rPr>
      </w:pPr>
      <w:bookmarkStart w:id="1" w:name="_GoBack"/>
      <w:bookmarkEnd w:id="1"/>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GWZT-EN">
    <w:panose1 w:val="020204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14:paraId="576CEB9B">
        <w:pPr>
          <w:pStyle w:val="3"/>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14:paraId="51A08E16">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14:paraId="7FE1F164">
        <w:pPr>
          <w:pStyle w:val="3"/>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14:paraId="3DDE723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A1"/>
    <w:rsid w:val="000E20BB"/>
    <w:rsid w:val="0010324F"/>
    <w:rsid w:val="00155185"/>
    <w:rsid w:val="001C657C"/>
    <w:rsid w:val="00306B20"/>
    <w:rsid w:val="003179DC"/>
    <w:rsid w:val="0034435B"/>
    <w:rsid w:val="00385340"/>
    <w:rsid w:val="00396017"/>
    <w:rsid w:val="003E272E"/>
    <w:rsid w:val="00434512"/>
    <w:rsid w:val="004D02D6"/>
    <w:rsid w:val="00516A1A"/>
    <w:rsid w:val="0060283F"/>
    <w:rsid w:val="006379EE"/>
    <w:rsid w:val="00647EF5"/>
    <w:rsid w:val="007815FB"/>
    <w:rsid w:val="00831CB6"/>
    <w:rsid w:val="00874984"/>
    <w:rsid w:val="008D4CA1"/>
    <w:rsid w:val="009D2DFA"/>
    <w:rsid w:val="00A2476A"/>
    <w:rsid w:val="00A44796"/>
    <w:rsid w:val="00AF407C"/>
    <w:rsid w:val="00B85C8E"/>
    <w:rsid w:val="00C567EA"/>
    <w:rsid w:val="00D5487C"/>
    <w:rsid w:val="00D60857"/>
    <w:rsid w:val="00DF08DA"/>
    <w:rsid w:val="00E62203"/>
    <w:rsid w:val="00EB5174"/>
    <w:rsid w:val="00F3654D"/>
    <w:rsid w:val="00F4451E"/>
    <w:rsid w:val="00FE5848"/>
    <w:rsid w:val="02752ABC"/>
    <w:rsid w:val="096C2E78"/>
    <w:rsid w:val="0A3936E0"/>
    <w:rsid w:val="0F0C3046"/>
    <w:rsid w:val="1AF63A18"/>
    <w:rsid w:val="228F2B4D"/>
    <w:rsid w:val="331B36C2"/>
    <w:rsid w:val="3B9F062F"/>
    <w:rsid w:val="47051A27"/>
    <w:rsid w:val="5DBB96B1"/>
    <w:rsid w:val="5E9838F9"/>
    <w:rsid w:val="605F6DDD"/>
    <w:rsid w:val="60DA3DC4"/>
    <w:rsid w:val="67F6CD7A"/>
    <w:rsid w:val="6EFFDB0E"/>
    <w:rsid w:val="70E7F8C7"/>
    <w:rsid w:val="73BFE56E"/>
    <w:rsid w:val="74AA6F97"/>
    <w:rsid w:val="777FDF2F"/>
    <w:rsid w:val="77BDB82F"/>
    <w:rsid w:val="77D7551F"/>
    <w:rsid w:val="786C8011"/>
    <w:rsid w:val="7B28DAA2"/>
    <w:rsid w:val="7DBFA8EC"/>
    <w:rsid w:val="7E0FBBFB"/>
    <w:rsid w:val="7E3AA5E1"/>
    <w:rsid w:val="C7F60DDC"/>
    <w:rsid w:val="D3F7C1C6"/>
    <w:rsid w:val="F973A990"/>
    <w:rsid w:val="FBFE3E6C"/>
    <w:rsid w:val="FCBD7553"/>
    <w:rsid w:val="FCFEA70E"/>
    <w:rsid w:val="FF471C32"/>
    <w:rsid w:val="FFCF1F0C"/>
    <w:rsid w:val="FFEBA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napToGrid w:val="0"/>
      <w:spacing w:before="120" w:beforeLines="0" w:after="120" w:afterLines="0" w:line="560" w:lineRule="exact"/>
      <w:outlineLvl w:val="0"/>
    </w:pPr>
    <w:rPr>
      <w:rFonts w:ascii="宋体" w:hAnsi="宋体" w:eastAsia="黑体"/>
      <w:bCs/>
      <w:kern w:val="44"/>
      <w:sz w:val="32"/>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val="0"/>
      <w:spacing w:before="100" w:beforeAutospacing="1" w:after="100" w:afterAutospacing="1"/>
    </w:pPr>
    <w:rPr>
      <w:rFonts w:ascii="Calibri" w:hAnsi="Calibri" w:eastAsia="宋体" w:cs="Times New Roman"/>
      <w:kern w:val="0"/>
      <w:sz w:val="24"/>
      <w:szCs w:val="22"/>
      <w:lang w:val="en-US" w:eastAsia="zh-CN" w:bidi="ar-SA"/>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Char"/>
    <w:basedOn w:val="8"/>
    <w:link w:val="3"/>
    <w:qFormat/>
    <w:uiPriority w:val="99"/>
    <w:rPr>
      <w:rFonts w:ascii="Times New Roman" w:hAnsi="Times New Roman" w:eastAsia="宋体" w:cs="Times New Roman"/>
      <w:sz w:val="18"/>
      <w:szCs w:val="18"/>
    </w:rPr>
  </w:style>
  <w:style w:type="character" w:customStyle="1" w:styleId="10">
    <w:name w:val="页眉 Char"/>
    <w:basedOn w:val="8"/>
    <w:link w:val="4"/>
    <w:qFormat/>
    <w:uiPriority w:val="99"/>
    <w:rPr>
      <w:rFonts w:ascii="Times New Roman" w:hAnsi="Times New Roman" w:eastAsia="宋体" w:cs="Times New Roman"/>
      <w:sz w:val="18"/>
      <w:szCs w:val="18"/>
    </w:rPr>
  </w:style>
  <w:style w:type="character" w:customStyle="1" w:styleId="11">
    <w:name w:val="font121"/>
    <w:basedOn w:val="8"/>
    <w:qFormat/>
    <w:uiPriority w:val="0"/>
    <w:rPr>
      <w:rFonts w:hint="eastAsia" w:ascii="仿宋_GB2312" w:eastAsia="仿宋_GB2312" w:cs="仿宋_GB2312"/>
      <w:color w:val="000000"/>
      <w:sz w:val="24"/>
      <w:szCs w:val="24"/>
      <w:u w:val="none"/>
    </w:rPr>
  </w:style>
  <w:style w:type="character" w:customStyle="1" w:styleId="12">
    <w:name w:val="font81"/>
    <w:basedOn w:val="8"/>
    <w:qFormat/>
    <w:uiPriority w:val="0"/>
    <w:rPr>
      <w:rFonts w:hint="default" w:ascii="Times New Roman" w:hAnsi="Times New Roman" w:cs="Times New Roman"/>
      <w:color w:val="000000"/>
      <w:sz w:val="24"/>
      <w:szCs w:val="24"/>
      <w:u w:val="none"/>
    </w:r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FangSong_GB2312" w:hAnsi="FangSong_GB2312" w:eastAsia="FangSong_GB2312" w:cs="FangSong_GB2312"/>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4950</Words>
  <Characters>5057</Characters>
  <Lines>4</Lines>
  <Paragraphs>1</Paragraphs>
  <TotalTime>24</TotalTime>
  <ScaleCrop>false</ScaleCrop>
  <LinksUpToDate>false</LinksUpToDate>
  <CharactersWithSpaces>5071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2020-07-31T23:57:00Z</dcterms:created>
  <dc:creator>CN=黄伟/O=wh.torch</dc:creator>
  <cp:lastModifiedBy>user</cp:lastModifiedBy>
  <cp:lastPrinted>2026-09-11T11:05:54Z</cp:lastPrinted>
  <dcterms:modified xsi:type="dcterms:W3CDTF">2026-09-11T11:26:16Z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TemplateDocerSaveRecord">
    <vt:lpwstr>eyJoZGlkIjoiODg1MGNiZTI1N2QxMGJmNDI0YjAxMGEyZTllYzkzYzMiLCJ1c2VySWQiOiIzMTg3MzkzNzEifQ==</vt:lpwstr>
  </property>
  <property fmtid="{D5CDD505-2E9C-101B-9397-08002B2CF9AE}" pid="4" name="ICV">
    <vt:lpwstr>C607E68FABB725A2D874A36ACA9AF201_43</vt:lpwstr>
  </property>
</Properties>
</file>