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447DB8">
      <w:pPr>
        <w:tabs>
          <w:tab w:val="center" w:pos="4507"/>
        </w:tabs>
        <w:spacing w:line="578" w:lineRule="exact"/>
        <w:jc w:val="left"/>
        <w:rPr>
          <w:rFonts w:ascii="宋体" w:hAnsi="宋体"/>
          <w:sz w:val="44"/>
        </w:rPr>
      </w:pPr>
      <w:bookmarkStart w:id="0" w:name="_GoBack"/>
      <w:bookmarkEnd w:id="0"/>
    </w:p>
    <w:p w14:paraId="5AA6079A">
      <w:pPr>
        <w:adjustRightInd w:val="0"/>
        <w:snapToGrid w:val="0"/>
        <w:spacing w:line="578" w:lineRule="exact"/>
        <w:jc w:val="center"/>
        <w:rPr>
          <w:rFonts w:eastAsia="方正小标宋简体"/>
          <w:sz w:val="44"/>
          <w:szCs w:val="44"/>
        </w:rPr>
      </w:pPr>
      <w:r>
        <w:rPr>
          <w:rFonts w:eastAsia="方正小标宋简体"/>
          <w:sz w:val="44"/>
          <w:szCs w:val="44"/>
        </w:rPr>
        <w:t>威海火炬高技术产业开发区管理委员会</w:t>
      </w:r>
    </w:p>
    <w:p w14:paraId="05EB3A12">
      <w:pPr>
        <w:adjustRightInd w:val="0"/>
        <w:snapToGrid w:val="0"/>
        <w:spacing w:line="578" w:lineRule="exact"/>
        <w:jc w:val="center"/>
        <w:rPr>
          <w:rFonts w:hint="eastAsia" w:eastAsia="方正小标宋简体"/>
          <w:sz w:val="44"/>
          <w:szCs w:val="44"/>
          <w:lang w:val="en-US" w:eastAsia="zh-CN"/>
        </w:rPr>
      </w:pPr>
      <w:r>
        <w:rPr>
          <w:rFonts w:hint="eastAsia" w:eastAsia="方正小标宋简体"/>
          <w:sz w:val="44"/>
          <w:szCs w:val="44"/>
          <w:lang w:val="en-US" w:eastAsia="zh-CN"/>
        </w:rPr>
        <w:t>关于废止《关于推进企业利用资本市场</w:t>
      </w:r>
    </w:p>
    <w:p w14:paraId="22CA39D0">
      <w:pPr>
        <w:adjustRightInd w:val="0"/>
        <w:snapToGrid w:val="0"/>
        <w:spacing w:line="578" w:lineRule="exact"/>
        <w:jc w:val="center"/>
        <w:rPr>
          <w:rFonts w:hint="eastAsia" w:eastAsia="方正小标宋简体"/>
          <w:sz w:val="44"/>
          <w:szCs w:val="44"/>
          <w:lang w:val="en-US" w:eastAsia="zh-CN"/>
        </w:rPr>
      </w:pPr>
      <w:r>
        <w:rPr>
          <w:rFonts w:hint="eastAsia" w:eastAsia="方正小标宋简体"/>
          <w:sz w:val="44"/>
          <w:szCs w:val="44"/>
          <w:lang w:val="en-US" w:eastAsia="zh-CN"/>
        </w:rPr>
        <w:t>加快发展若干政策的意见》等</w:t>
      </w:r>
    </w:p>
    <w:p w14:paraId="6BC99FE0">
      <w:pPr>
        <w:adjustRightInd w:val="0"/>
        <w:snapToGrid w:val="0"/>
        <w:spacing w:line="578" w:lineRule="exact"/>
        <w:jc w:val="center"/>
        <w:rPr>
          <w:rFonts w:hint="default" w:eastAsia="方正小标宋简体"/>
          <w:spacing w:val="-28"/>
          <w:sz w:val="44"/>
          <w:szCs w:val="44"/>
          <w:lang w:val="en-US" w:eastAsia="zh-CN"/>
        </w:rPr>
      </w:pPr>
      <w:r>
        <w:rPr>
          <w:rFonts w:hint="eastAsia" w:eastAsia="方正小标宋简体"/>
          <w:sz w:val="44"/>
          <w:szCs w:val="44"/>
          <w:lang w:val="en-US" w:eastAsia="zh-CN"/>
        </w:rPr>
        <w:t>区管委行政规范性文件的决定</w:t>
      </w:r>
    </w:p>
    <w:p w14:paraId="3D582293">
      <w:pPr>
        <w:snapToGrid w:val="0"/>
        <w:spacing w:line="578" w:lineRule="exact"/>
        <w:jc w:val="left"/>
        <w:rPr>
          <w:rFonts w:eastAsia="仿宋_GB2312"/>
          <w:sz w:val="32"/>
        </w:rPr>
      </w:pPr>
    </w:p>
    <w:p w14:paraId="04F92F27">
      <w:pPr>
        <w:keepNext w:val="0"/>
        <w:keepLines w:val="0"/>
        <w:pageBreakBefore w:val="0"/>
        <w:widowControl w:val="0"/>
        <w:kinsoku/>
        <w:wordWrap/>
        <w:overflowPunct/>
        <w:topLinePunct w:val="0"/>
        <w:autoSpaceDE/>
        <w:autoSpaceDN/>
        <w:bidi w:val="0"/>
        <w:adjustRightInd/>
        <w:snapToGrid w:val="0"/>
        <w:spacing w:line="578" w:lineRule="exact"/>
        <w:jc w:val="left"/>
        <w:textAlignment w:val="auto"/>
        <w:rPr>
          <w:rFonts w:hint="eastAsia" w:eastAsia="仿宋_GB2312"/>
          <w:sz w:val="32"/>
          <w:lang w:eastAsia="zh-CN"/>
        </w:rPr>
      </w:pPr>
      <w:r>
        <w:rPr>
          <w:rFonts w:hint="eastAsia" w:eastAsia="仿宋_GB2312"/>
          <w:sz w:val="32"/>
          <w:lang w:val="en-US" w:eastAsia="zh-CN"/>
        </w:rPr>
        <w:t>区直有关部门，各镇、街道，驻区有关单位</w:t>
      </w:r>
      <w:r>
        <w:rPr>
          <w:rFonts w:hint="eastAsia" w:eastAsia="仿宋_GB2312"/>
          <w:sz w:val="32"/>
          <w:lang w:eastAsia="zh-CN"/>
        </w:rPr>
        <w:t>：</w:t>
      </w:r>
    </w:p>
    <w:p w14:paraId="720DEEC1">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根据《山东省行政规范性文件制定和监督管理办法》《山东省行政规范性文件评估暂行办法》等有关规定，经评估，决定《关于推进企业利用资本市场加快发展若干政策的意见》等</w:t>
      </w:r>
      <w:r>
        <w:rPr>
          <w:rFonts w:hint="default" w:ascii="Times New Roman" w:hAnsi="Times New Roman" w:eastAsia="仿宋_GB2312" w:cs="Times New Roman"/>
          <w:sz w:val="32"/>
          <w:szCs w:val="32"/>
          <w:lang w:val="en-US" w:eastAsia="zh-CN"/>
        </w:rPr>
        <w:t>1</w:t>
      </w:r>
      <w:r>
        <w:rPr>
          <w:rFonts w:hint="eastAsia" w:ascii="仿宋_GB2312" w:eastAsia="仿宋_GB2312"/>
          <w:sz w:val="32"/>
          <w:szCs w:val="32"/>
          <w:lang w:val="en-US" w:eastAsia="zh-CN"/>
        </w:rPr>
        <w:t>件区管委行政规范性文件废止。凡废止的区管委行政规范性文件，自本决定发布之日起一律停止执行，不再作为行政管理的依据。</w:t>
      </w:r>
    </w:p>
    <w:p w14:paraId="4929D9F9">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val="en-US" w:eastAsia="zh-CN"/>
        </w:rPr>
      </w:pPr>
    </w:p>
    <w:p w14:paraId="5A87B17B">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附件：决定废止的区管委行政规范性文件目录。</w:t>
      </w:r>
    </w:p>
    <w:p w14:paraId="698149AF">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ascii="仿宋_GB2312" w:eastAsia="仿宋_GB2312"/>
          <w:sz w:val="32"/>
          <w:szCs w:val="32"/>
        </w:rPr>
      </w:pPr>
    </w:p>
    <w:p w14:paraId="76094EE7">
      <w:pPr>
        <w:keepNext w:val="0"/>
        <w:keepLines w:val="0"/>
        <w:pageBreakBefore w:val="0"/>
        <w:widowControl w:val="0"/>
        <w:kinsoku/>
        <w:wordWrap/>
        <w:overflowPunct/>
        <w:topLinePunct w:val="0"/>
        <w:autoSpaceDE/>
        <w:autoSpaceDN/>
        <w:bidi w:val="0"/>
        <w:adjustRightInd/>
        <w:spacing w:line="578" w:lineRule="exact"/>
        <w:ind w:firstLine="3200" w:firstLineChars="1000"/>
        <w:textAlignment w:val="auto"/>
        <w:rPr>
          <w:rFonts w:ascii="仿宋_GB2312" w:eastAsia="仿宋_GB2312" w:cs="仿宋_GB2312"/>
          <w:sz w:val="32"/>
          <w:szCs w:val="32"/>
        </w:rPr>
      </w:pPr>
      <w:r>
        <w:rPr>
          <w:rFonts w:hint="eastAsia" w:ascii="仿宋_GB2312" w:eastAsia="仿宋_GB2312" w:cs="仿宋_GB2312"/>
          <w:sz w:val="32"/>
          <w:szCs w:val="32"/>
        </w:rPr>
        <w:t>威海火炬高技术产业开发区管理委员会</w:t>
      </w:r>
    </w:p>
    <w:p w14:paraId="4836DAA4">
      <w:pPr>
        <w:keepNext w:val="0"/>
        <w:keepLines w:val="0"/>
        <w:pageBreakBefore w:val="0"/>
        <w:widowControl w:val="0"/>
        <w:kinsoku/>
        <w:wordWrap/>
        <w:overflowPunct/>
        <w:topLinePunct w:val="0"/>
        <w:autoSpaceDE/>
        <w:autoSpaceDN/>
        <w:bidi w:val="0"/>
        <w:adjustRightInd/>
        <w:spacing w:line="578" w:lineRule="exact"/>
        <w:ind w:firstLine="4800" w:firstLineChars="1500"/>
        <w:textAlignment w:val="auto"/>
        <w:rPr>
          <w:rFonts w:ascii="仿宋_GB2312" w:eastAsia="仿宋_GB2312" w:cs="仿宋_GB2312"/>
          <w:sz w:val="32"/>
          <w:szCs w:val="32"/>
        </w:rPr>
      </w:pPr>
      <w:r>
        <w:rPr>
          <w:rFonts w:eastAsia="仿宋_GB2312"/>
          <w:sz w:val="32"/>
          <w:szCs w:val="32"/>
        </w:rPr>
        <w:t>20</w:t>
      </w:r>
      <w:r>
        <w:rPr>
          <w:rFonts w:hint="eastAsia" w:eastAsia="仿宋_GB2312"/>
          <w:sz w:val="32"/>
          <w:szCs w:val="32"/>
          <w:lang w:val="en-US" w:eastAsia="zh-CN"/>
        </w:rPr>
        <w:t>25</w:t>
      </w:r>
      <w:r>
        <w:rPr>
          <w:rFonts w:hint="eastAsia" w:ascii="仿宋_GB2312" w:eastAsia="仿宋_GB2312" w:cs="仿宋_GB2312"/>
          <w:sz w:val="32"/>
          <w:szCs w:val="32"/>
        </w:rPr>
        <w:t>年</w:t>
      </w:r>
      <w:r>
        <w:rPr>
          <w:rFonts w:hint="eastAsia" w:eastAsia="仿宋_GB2312" w:cs="Times New Roman"/>
          <w:sz w:val="32"/>
          <w:szCs w:val="32"/>
          <w:lang w:val="en-US" w:eastAsia="zh-CN"/>
        </w:rPr>
        <w:t>6</w:t>
      </w:r>
      <w:r>
        <w:rPr>
          <w:rFonts w:hint="default" w:ascii="Times New Roman" w:hAnsi="Times New Roman" w:eastAsia="仿宋_GB2312" w:cs="Times New Roman"/>
          <w:sz w:val="32"/>
          <w:szCs w:val="32"/>
        </w:rPr>
        <w:t>月</w:t>
      </w:r>
      <w:r>
        <w:rPr>
          <w:rFonts w:hint="eastAsia" w:eastAsia="仿宋_GB2312" w:cs="Times New Roman"/>
          <w:sz w:val="32"/>
          <w:szCs w:val="32"/>
          <w:lang w:val="en-US" w:eastAsia="zh-CN"/>
        </w:rPr>
        <w:t>26</w:t>
      </w:r>
      <w:r>
        <w:rPr>
          <w:rFonts w:hint="eastAsia" w:ascii="仿宋_GB2312" w:eastAsia="仿宋_GB2312" w:cs="仿宋_GB2312"/>
          <w:sz w:val="32"/>
          <w:szCs w:val="32"/>
        </w:rPr>
        <w:t>日</w:t>
      </w:r>
    </w:p>
    <w:p w14:paraId="54FB9424">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（此件公开发布）</w:t>
      </w:r>
    </w:p>
    <w:p w14:paraId="78B57151">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p>
    <w:p w14:paraId="013308A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0F0F1569">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80" w:lineRule="exact"/>
        <w:ind w:right="0" w:rightChars="0"/>
        <w:jc w:val="both"/>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14:paraId="67F87188">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80" w:lineRule="exact"/>
        <w:ind w:right="0" w:rightChars="0"/>
        <w:jc w:val="center"/>
        <w:textAlignment w:val="auto"/>
        <w:rPr>
          <w:rFonts w:hint="eastAsia" w:ascii="方正小标宋简体" w:hAnsi="方正小标宋简体" w:eastAsia="方正小标宋简体" w:cs="方正小标宋简体"/>
          <w:sz w:val="44"/>
          <w:szCs w:val="44"/>
          <w:lang w:eastAsia="zh-CN"/>
        </w:rPr>
      </w:pPr>
    </w:p>
    <w:p w14:paraId="7A249C45">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80" w:lineRule="exact"/>
        <w:ind w:right="0" w:rightChars="0"/>
        <w:jc w:val="center"/>
        <w:textAlignment w:val="auto"/>
      </w:pPr>
      <w:r>
        <w:rPr>
          <w:rFonts w:hint="eastAsia" w:ascii="方正小标宋简体" w:hAnsi="方正小标宋简体" w:eastAsia="方正小标宋简体" w:cs="方正小标宋简体"/>
          <w:sz w:val="44"/>
          <w:szCs w:val="44"/>
          <w:lang w:eastAsia="zh-CN"/>
        </w:rPr>
        <w:t>决定废止的区管委行政规范性文件目录</w:t>
      </w:r>
    </w:p>
    <w:p w14:paraId="2B48BB52"/>
    <w:tbl>
      <w:tblPr>
        <w:tblStyle w:val="6"/>
        <w:tblW w:w="8355" w:type="dxa"/>
        <w:tblInd w:w="1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111"/>
        <w:gridCol w:w="1684"/>
        <w:gridCol w:w="1750"/>
        <w:gridCol w:w="1950"/>
      </w:tblGrid>
      <w:tr w14:paraId="1946A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noWrap w:val="0"/>
            <w:vAlign w:val="top"/>
          </w:tcPr>
          <w:p w14:paraId="6B5B280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default" w:ascii="Times New Roman" w:hAnsi="Times New Roman" w:eastAsia="方正黑体_GBK" w:cs="Times New Roman"/>
                <w:i w:val="0"/>
                <w:color w:val="000000"/>
                <w:kern w:val="0"/>
                <w:sz w:val="24"/>
                <w:szCs w:val="24"/>
                <w:u w:val="none"/>
                <w:lang w:val="en-US" w:eastAsia="zh-CN" w:bidi="ar"/>
              </w:rPr>
            </w:pPr>
            <w:r>
              <w:rPr>
                <w:rFonts w:hint="default" w:ascii="Times New Roman" w:hAnsi="Times New Roman" w:eastAsia="方正黑体_GBK" w:cs="Times New Roman"/>
                <w:i w:val="0"/>
                <w:color w:val="000000"/>
                <w:kern w:val="0"/>
                <w:sz w:val="24"/>
                <w:szCs w:val="24"/>
                <w:u w:val="none"/>
                <w:lang w:val="en-US" w:eastAsia="zh-CN" w:bidi="ar"/>
              </w:rPr>
              <w:t>序号</w:t>
            </w:r>
          </w:p>
        </w:tc>
        <w:tc>
          <w:tcPr>
            <w:tcW w:w="2111" w:type="dxa"/>
            <w:noWrap w:val="0"/>
            <w:vAlign w:val="top"/>
          </w:tcPr>
          <w:p w14:paraId="215DA7B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default" w:ascii="Times New Roman" w:hAnsi="Times New Roman" w:eastAsia="方正黑体_GBK" w:cs="Times New Roman"/>
                <w:i w:val="0"/>
                <w:color w:val="000000"/>
                <w:kern w:val="0"/>
                <w:sz w:val="24"/>
                <w:szCs w:val="24"/>
                <w:u w:val="none"/>
                <w:lang w:val="en-US" w:eastAsia="zh-CN" w:bidi="ar"/>
              </w:rPr>
            </w:pPr>
            <w:r>
              <w:rPr>
                <w:rFonts w:hint="default" w:ascii="Times New Roman" w:hAnsi="Times New Roman" w:eastAsia="方正黑体_GBK" w:cs="Times New Roman"/>
                <w:i w:val="0"/>
                <w:color w:val="000000"/>
                <w:kern w:val="0"/>
                <w:sz w:val="24"/>
                <w:szCs w:val="24"/>
                <w:u w:val="none"/>
                <w:lang w:val="en-US" w:eastAsia="zh-CN" w:bidi="ar"/>
              </w:rPr>
              <w:t>文件名称</w:t>
            </w:r>
          </w:p>
        </w:tc>
        <w:tc>
          <w:tcPr>
            <w:tcW w:w="1684" w:type="dxa"/>
            <w:noWrap w:val="0"/>
            <w:vAlign w:val="top"/>
          </w:tcPr>
          <w:p w14:paraId="0C78C91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default" w:ascii="Times New Roman" w:hAnsi="Times New Roman" w:eastAsia="方正黑体_GBK" w:cs="Times New Roman"/>
                <w:i w:val="0"/>
                <w:color w:val="000000"/>
                <w:kern w:val="0"/>
                <w:sz w:val="24"/>
                <w:szCs w:val="24"/>
                <w:u w:val="none"/>
                <w:lang w:val="en-US" w:eastAsia="zh-CN" w:bidi="ar"/>
              </w:rPr>
            </w:pPr>
            <w:r>
              <w:rPr>
                <w:rFonts w:hint="default" w:ascii="Times New Roman" w:hAnsi="Times New Roman" w:eastAsia="方正黑体_GBK" w:cs="Times New Roman"/>
                <w:i w:val="0"/>
                <w:color w:val="000000"/>
                <w:kern w:val="0"/>
                <w:sz w:val="24"/>
                <w:szCs w:val="24"/>
                <w:u w:val="none"/>
                <w:lang w:val="en-US" w:eastAsia="zh-CN" w:bidi="ar"/>
              </w:rPr>
              <w:t>文号</w:t>
            </w:r>
          </w:p>
        </w:tc>
        <w:tc>
          <w:tcPr>
            <w:tcW w:w="1750" w:type="dxa"/>
            <w:noWrap w:val="0"/>
            <w:vAlign w:val="top"/>
          </w:tcPr>
          <w:p w14:paraId="031A766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default" w:ascii="Times New Roman" w:hAnsi="Times New Roman" w:eastAsia="方正黑体_GBK" w:cs="Times New Roman"/>
                <w:i w:val="0"/>
                <w:color w:val="000000"/>
                <w:kern w:val="0"/>
                <w:sz w:val="24"/>
                <w:szCs w:val="24"/>
                <w:u w:val="none"/>
                <w:lang w:val="en-US" w:eastAsia="zh-CN" w:bidi="ar"/>
              </w:rPr>
            </w:pPr>
            <w:r>
              <w:rPr>
                <w:rFonts w:hint="default" w:ascii="Times New Roman" w:hAnsi="Times New Roman" w:eastAsia="方正黑体_GBK" w:cs="Times New Roman"/>
                <w:i w:val="0"/>
                <w:color w:val="000000"/>
                <w:kern w:val="0"/>
                <w:sz w:val="24"/>
                <w:szCs w:val="24"/>
                <w:u w:val="none"/>
                <w:lang w:val="en-US" w:eastAsia="zh-CN" w:bidi="ar"/>
              </w:rPr>
              <w:t>登记号</w:t>
            </w:r>
          </w:p>
        </w:tc>
        <w:tc>
          <w:tcPr>
            <w:tcW w:w="1950" w:type="dxa"/>
            <w:noWrap w:val="0"/>
            <w:vAlign w:val="top"/>
          </w:tcPr>
          <w:p w14:paraId="08FFD29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default" w:ascii="Times New Roman" w:hAnsi="Times New Roman" w:eastAsia="方正黑体_GBK" w:cs="Times New Roman"/>
                <w:i w:val="0"/>
                <w:color w:val="000000"/>
                <w:kern w:val="0"/>
                <w:sz w:val="24"/>
                <w:szCs w:val="24"/>
                <w:u w:val="none"/>
                <w:lang w:val="en-US" w:eastAsia="zh-CN" w:bidi="ar"/>
              </w:rPr>
            </w:pPr>
            <w:r>
              <w:rPr>
                <w:rFonts w:hint="default" w:ascii="Times New Roman" w:hAnsi="Times New Roman" w:eastAsia="方正黑体_GBK" w:cs="Times New Roman"/>
                <w:i w:val="0"/>
                <w:color w:val="000000"/>
                <w:kern w:val="0"/>
                <w:sz w:val="24"/>
                <w:szCs w:val="24"/>
                <w:u w:val="none"/>
                <w:lang w:val="en-US" w:eastAsia="zh-CN" w:bidi="ar"/>
              </w:rPr>
              <w:t>施行日期</w:t>
            </w:r>
          </w:p>
        </w:tc>
      </w:tr>
      <w:tr w14:paraId="2806A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trPr>
        <w:tc>
          <w:tcPr>
            <w:tcW w:w="860" w:type="dxa"/>
            <w:noWrap w:val="0"/>
            <w:vAlign w:val="center"/>
          </w:tcPr>
          <w:p w14:paraId="5E3C7F5C">
            <w:pPr>
              <w:keepNext w:val="0"/>
              <w:keepLines w:val="0"/>
              <w:pageBreakBefore w:val="0"/>
              <w:widowControl w:val="0"/>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仿宋_GB2312" w:cs="Times New Roman"/>
                <w:sz w:val="32"/>
                <w:szCs w:val="32"/>
              </w:rPr>
            </w:pPr>
            <w:r>
              <w:rPr>
                <w:rFonts w:hint="default" w:ascii="Times New Roman" w:hAnsi="Times New Roman" w:eastAsia="宋体" w:cs="Times New Roman"/>
                <w:i w:val="0"/>
                <w:color w:val="000000"/>
                <w:kern w:val="0"/>
                <w:sz w:val="24"/>
                <w:szCs w:val="24"/>
                <w:u w:val="none"/>
                <w:lang w:val="en-US" w:eastAsia="zh-CN" w:bidi="ar"/>
              </w:rPr>
              <w:t>1</w:t>
            </w:r>
          </w:p>
        </w:tc>
        <w:tc>
          <w:tcPr>
            <w:tcW w:w="2111" w:type="dxa"/>
            <w:noWrap w:val="0"/>
            <w:vAlign w:val="center"/>
          </w:tcPr>
          <w:p w14:paraId="05471AAE">
            <w:pPr>
              <w:keepNext w:val="0"/>
              <w:keepLines w:val="0"/>
              <w:pageBreakBefore w:val="0"/>
              <w:widowControl w:val="0"/>
              <w:suppressLineNumbers w:val="0"/>
              <w:kinsoku/>
              <w:wordWrap/>
              <w:overflowPunct/>
              <w:topLinePunct w:val="0"/>
              <w:autoSpaceDE/>
              <w:autoSpaceDN/>
              <w:bidi w:val="0"/>
              <w:adjustRightInd/>
              <w:snapToGrid/>
              <w:spacing w:line="320" w:lineRule="exact"/>
              <w:jc w:val="both"/>
              <w:textAlignment w:val="center"/>
              <w:rPr>
                <w:rFonts w:hint="default" w:ascii="Times New Roman" w:hAnsi="Times New Roman" w:eastAsia="仿宋_GB2312" w:cs="Times New Roman"/>
                <w:sz w:val="32"/>
                <w:szCs w:val="32"/>
              </w:rPr>
            </w:pPr>
            <w:r>
              <w:rPr>
                <w:rFonts w:hint="eastAsia" w:ascii="Times New Roman" w:hAnsi="Times New Roman" w:eastAsia="仿宋_GB2312" w:cs="Times New Roman"/>
                <w:i w:val="0"/>
                <w:color w:val="000000"/>
                <w:kern w:val="0"/>
                <w:sz w:val="24"/>
                <w:szCs w:val="24"/>
                <w:u w:val="none"/>
                <w:lang w:val="en-US" w:eastAsia="zh-CN" w:bidi="ar"/>
              </w:rPr>
              <w:t>威海火炬高技术产业开发区管理委员会关于推进企业利用资本市场加快发展若干政策的意见</w:t>
            </w:r>
          </w:p>
        </w:tc>
        <w:tc>
          <w:tcPr>
            <w:tcW w:w="1684" w:type="dxa"/>
            <w:noWrap w:val="0"/>
            <w:vAlign w:val="center"/>
          </w:tcPr>
          <w:p w14:paraId="0B181E33">
            <w:pPr>
              <w:keepNext w:val="0"/>
              <w:keepLines w:val="0"/>
              <w:pageBreakBefore w:val="0"/>
              <w:widowControl w:val="0"/>
              <w:suppressLineNumbers w:val="0"/>
              <w:kinsoku/>
              <w:wordWrap/>
              <w:overflowPunct/>
              <w:topLinePunct w:val="0"/>
              <w:autoSpaceDE/>
              <w:autoSpaceDN/>
              <w:bidi w:val="0"/>
              <w:adjustRightInd/>
              <w:snapToGrid/>
              <w:spacing w:line="320" w:lineRule="exact"/>
              <w:jc w:val="center"/>
              <w:textAlignment w:val="center"/>
              <w:rPr>
                <w:rFonts w:hint="default" w:ascii="仿宋_GB2312" w:hAnsi="仿宋_GB2312" w:eastAsia="仿宋_GB2312" w:cs="仿宋_GB2312"/>
                <w:sz w:val="32"/>
                <w:szCs w:val="32"/>
                <w:lang w:val="en-US" w:eastAsia="zh-CN"/>
              </w:rPr>
            </w:pPr>
            <w:r>
              <w:rPr>
                <w:rFonts w:hint="eastAsia" w:ascii="Times New Roman" w:hAnsi="Times New Roman" w:eastAsia="仿宋_GB2312" w:cs="Times New Roman"/>
                <w:i w:val="0"/>
                <w:color w:val="000000"/>
                <w:kern w:val="0"/>
                <w:sz w:val="24"/>
                <w:szCs w:val="24"/>
                <w:u w:val="none"/>
                <w:lang w:val="en-US" w:eastAsia="zh-CN" w:bidi="ar"/>
              </w:rPr>
              <w:t>威高管发〔2022〕6号</w:t>
            </w:r>
          </w:p>
        </w:tc>
        <w:tc>
          <w:tcPr>
            <w:tcW w:w="1750" w:type="dxa"/>
            <w:noWrap w:val="0"/>
            <w:vAlign w:val="center"/>
          </w:tcPr>
          <w:p w14:paraId="35512A30">
            <w:pPr>
              <w:keepNext w:val="0"/>
              <w:keepLines w:val="0"/>
              <w:pageBreakBefore w:val="0"/>
              <w:widowControl w:val="0"/>
              <w:suppressLineNumbers w:val="0"/>
              <w:kinsoku/>
              <w:wordWrap/>
              <w:overflowPunct/>
              <w:topLinePunct w:val="0"/>
              <w:autoSpaceDE/>
              <w:autoSpaceDN/>
              <w:bidi w:val="0"/>
              <w:adjustRightInd/>
              <w:snapToGrid/>
              <w:spacing w:line="320" w:lineRule="exact"/>
              <w:jc w:val="both"/>
              <w:textAlignment w:val="center"/>
              <w:rPr>
                <w:rFonts w:hint="eastAsia" w:ascii="Times New Roman" w:hAnsi="Times New Roman" w:eastAsia="仿宋_GB2312" w:cs="Times New Roman"/>
                <w:i w:val="0"/>
                <w:color w:val="000000"/>
                <w:kern w:val="0"/>
                <w:sz w:val="24"/>
                <w:szCs w:val="24"/>
                <w:u w:val="none"/>
                <w:lang w:val="en-US" w:eastAsia="zh-CN" w:bidi="ar"/>
              </w:rPr>
            </w:pPr>
            <w:r>
              <w:rPr>
                <w:rFonts w:hint="eastAsia" w:ascii="Times New Roman" w:hAnsi="Times New Roman" w:eastAsia="仿宋_GB2312" w:cs="Times New Roman"/>
                <w:i w:val="0"/>
                <w:color w:val="000000"/>
                <w:kern w:val="0"/>
                <w:sz w:val="24"/>
                <w:szCs w:val="24"/>
                <w:u w:val="none"/>
                <w:lang w:val="en-US" w:eastAsia="zh-CN" w:bidi="ar"/>
              </w:rPr>
              <w:t>GQDR-2022-</w:t>
            </w:r>
          </w:p>
          <w:p w14:paraId="6D2DC36B">
            <w:pPr>
              <w:keepNext w:val="0"/>
              <w:keepLines w:val="0"/>
              <w:pageBreakBefore w:val="0"/>
              <w:widowControl w:val="0"/>
              <w:suppressLineNumbers w:val="0"/>
              <w:kinsoku/>
              <w:wordWrap/>
              <w:overflowPunct/>
              <w:topLinePunct w:val="0"/>
              <w:autoSpaceDE/>
              <w:autoSpaceDN/>
              <w:bidi w:val="0"/>
              <w:adjustRightInd/>
              <w:snapToGrid/>
              <w:spacing w:line="320" w:lineRule="exact"/>
              <w:jc w:val="both"/>
              <w:textAlignment w:val="center"/>
              <w:rPr>
                <w:rFonts w:hint="default" w:ascii="Times New Roman" w:hAnsi="Times New Roman" w:eastAsia="仿宋_GB2312" w:cs="Times New Roman"/>
                <w:sz w:val="32"/>
                <w:szCs w:val="32"/>
              </w:rPr>
            </w:pPr>
            <w:r>
              <w:rPr>
                <w:rFonts w:hint="eastAsia" w:ascii="Times New Roman" w:hAnsi="Times New Roman" w:eastAsia="仿宋_GB2312" w:cs="Times New Roman"/>
                <w:i w:val="0"/>
                <w:color w:val="000000"/>
                <w:kern w:val="0"/>
                <w:sz w:val="24"/>
                <w:szCs w:val="24"/>
                <w:u w:val="none"/>
                <w:lang w:val="en-US" w:eastAsia="zh-CN" w:bidi="ar"/>
              </w:rPr>
              <w:t>0010002</w:t>
            </w:r>
          </w:p>
        </w:tc>
        <w:tc>
          <w:tcPr>
            <w:tcW w:w="1950" w:type="dxa"/>
            <w:noWrap w:val="0"/>
            <w:vAlign w:val="center"/>
          </w:tcPr>
          <w:p w14:paraId="216696D6">
            <w:pPr>
              <w:keepNext w:val="0"/>
              <w:keepLines w:val="0"/>
              <w:pageBreakBefore w:val="0"/>
              <w:widowControl w:val="0"/>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仿宋_GB2312" w:cs="Times New Roman"/>
                <w:sz w:val="32"/>
                <w:szCs w:val="32"/>
              </w:rPr>
            </w:pPr>
            <w:r>
              <w:rPr>
                <w:rFonts w:hint="eastAsia" w:ascii="Times New Roman" w:hAnsi="Times New Roman" w:eastAsia="仿宋_GB2312" w:cs="Times New Roman"/>
                <w:i w:val="0"/>
                <w:color w:val="000000"/>
                <w:spacing w:val="-11"/>
                <w:kern w:val="0"/>
                <w:sz w:val="24"/>
                <w:szCs w:val="24"/>
                <w:u w:val="none"/>
                <w:lang w:val="en-US" w:eastAsia="zh-CN" w:bidi="ar"/>
              </w:rPr>
              <w:t>2022</w:t>
            </w:r>
            <w:r>
              <w:rPr>
                <w:rFonts w:hint="default" w:ascii="Times New Roman" w:hAnsi="Times New Roman" w:eastAsia="仿宋_GB2312" w:cs="Times New Roman"/>
                <w:i w:val="0"/>
                <w:color w:val="000000"/>
                <w:spacing w:val="-11"/>
                <w:kern w:val="0"/>
                <w:sz w:val="24"/>
                <w:szCs w:val="24"/>
                <w:u w:val="none"/>
                <w:lang w:val="en-US" w:eastAsia="zh-CN" w:bidi="ar"/>
              </w:rPr>
              <w:t>年</w:t>
            </w:r>
            <w:r>
              <w:rPr>
                <w:rFonts w:hint="eastAsia" w:ascii="Times New Roman" w:hAnsi="Times New Roman" w:eastAsia="仿宋_GB2312" w:cs="Times New Roman"/>
                <w:i w:val="0"/>
                <w:color w:val="000000"/>
                <w:spacing w:val="-11"/>
                <w:kern w:val="0"/>
                <w:sz w:val="24"/>
                <w:szCs w:val="24"/>
                <w:u w:val="none"/>
                <w:lang w:val="en-US" w:eastAsia="zh-CN" w:bidi="ar"/>
              </w:rPr>
              <w:t>7</w:t>
            </w:r>
            <w:r>
              <w:rPr>
                <w:rFonts w:hint="default" w:ascii="Times New Roman" w:hAnsi="Times New Roman" w:eastAsia="仿宋_GB2312" w:cs="Times New Roman"/>
                <w:i w:val="0"/>
                <w:color w:val="000000"/>
                <w:spacing w:val="-11"/>
                <w:kern w:val="0"/>
                <w:sz w:val="24"/>
                <w:szCs w:val="24"/>
                <w:u w:val="none"/>
                <w:lang w:val="en-US" w:eastAsia="zh-CN" w:bidi="ar"/>
              </w:rPr>
              <w:t>月</w:t>
            </w:r>
            <w:r>
              <w:rPr>
                <w:rFonts w:hint="eastAsia" w:ascii="Times New Roman" w:hAnsi="Times New Roman" w:eastAsia="仿宋_GB2312" w:cs="Times New Roman"/>
                <w:i w:val="0"/>
                <w:color w:val="000000"/>
                <w:spacing w:val="-11"/>
                <w:kern w:val="0"/>
                <w:sz w:val="24"/>
                <w:szCs w:val="24"/>
                <w:u w:val="none"/>
                <w:lang w:val="en-US" w:eastAsia="zh-CN" w:bidi="ar"/>
              </w:rPr>
              <w:t>15</w:t>
            </w:r>
            <w:r>
              <w:rPr>
                <w:rFonts w:hint="default" w:ascii="Times New Roman" w:hAnsi="Times New Roman" w:eastAsia="仿宋_GB2312" w:cs="Times New Roman"/>
                <w:i w:val="0"/>
                <w:color w:val="000000"/>
                <w:spacing w:val="-11"/>
                <w:kern w:val="0"/>
                <w:sz w:val="24"/>
                <w:szCs w:val="24"/>
                <w:u w:val="none"/>
                <w:lang w:val="en-US" w:eastAsia="zh-CN" w:bidi="ar"/>
              </w:rPr>
              <w:t>日</w:t>
            </w:r>
          </w:p>
        </w:tc>
      </w:tr>
    </w:tbl>
    <w:p w14:paraId="07AA977E">
      <w:pPr>
        <w:pStyle w:val="2"/>
        <w:rPr>
          <w:rFonts w:hint="default"/>
        </w:rPr>
      </w:pPr>
    </w:p>
    <w:p w14:paraId="066087E9">
      <w:pPr>
        <w:keepNext w:val="0"/>
        <w:keepLines w:val="0"/>
        <w:pageBreakBefore w:val="0"/>
        <w:widowControl w:val="0"/>
        <w:kinsoku/>
        <w:wordWrap/>
        <w:overflowPunct/>
        <w:topLinePunct w:val="0"/>
        <w:autoSpaceDE/>
        <w:autoSpaceDN/>
        <w:bidi w:val="0"/>
        <w:adjustRightInd/>
        <w:snapToGrid/>
        <w:spacing w:line="610" w:lineRule="exact"/>
        <w:ind w:firstLine="640" w:firstLineChars="200"/>
        <w:textAlignment w:val="auto"/>
        <w:rPr>
          <w:rFonts w:ascii="仿宋_GB2312" w:eastAsia="仿宋_GB2312"/>
          <w:sz w:val="32"/>
          <w:szCs w:val="32"/>
        </w:rPr>
      </w:pPr>
    </w:p>
    <w:p w14:paraId="2DDC72D1">
      <w:pPr>
        <w:rPr>
          <w:rFonts w:ascii="仿宋_GB2312" w:eastAsia="仿宋_GB2312"/>
          <w:sz w:val="32"/>
          <w:szCs w:val="32"/>
        </w:rPr>
      </w:pPr>
      <w:r>
        <w:rPr>
          <w:rFonts w:ascii="仿宋_GB2312" w:eastAsia="仿宋_GB2312"/>
          <w:sz w:val="32"/>
          <w:szCs w:val="32"/>
        </w:rPr>
        <w:br w:type="page"/>
      </w:r>
    </w:p>
    <w:p w14:paraId="39FC1B9E">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021BAB1D">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A684AB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312676E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69E366A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9CFC62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3C0FF11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139CA8A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11B0FC7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55C68B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7BD8876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514FC26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1AA67354">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92D0353">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720DC93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6235E86D">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A694920">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3F4E6F8B">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5425450B">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5828E41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45EDB7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0842FD2B">
      <w:pPr>
        <w:keepNext w:val="0"/>
        <w:keepLines w:val="0"/>
        <w:pageBreakBefore w:val="0"/>
        <w:widowControl w:val="0"/>
        <w:kinsoku/>
        <w:wordWrap/>
        <w:overflowPunct/>
        <w:topLinePunct w:val="0"/>
        <w:autoSpaceDE/>
        <w:autoSpaceDN/>
        <w:bidi w:val="0"/>
        <w:adjustRightInd/>
        <w:snapToGrid/>
        <w:spacing w:line="578" w:lineRule="exact"/>
        <w:textAlignment w:val="auto"/>
        <w:rPr>
          <w:rFonts w:hint="default" w:eastAsia="仿宋_GB2312"/>
          <w:lang w:val="en-US" w:eastAsia="zh-CN"/>
        </w:rPr>
      </w:pPr>
      <w:r>
        <w:rPr>
          <w:rFonts w:ascii="仿宋_GB2312" w:eastAsia="仿宋_GB2312"/>
          <w:sz w:val="28"/>
          <w:szCs w:val="28"/>
        </w:rPr>
        <mc:AlternateContent>
          <mc:Choice Requires="wps">
            <w:drawing>
              <wp:anchor distT="0" distB="0" distL="114300" distR="114300" simplePos="0" relativeHeight="251659264" behindDoc="0" locked="0" layoutInCell="0" allowOverlap="1">
                <wp:simplePos x="0" y="0"/>
                <wp:positionH relativeFrom="column">
                  <wp:posOffset>1270</wp:posOffset>
                </wp:positionH>
                <wp:positionV relativeFrom="paragraph">
                  <wp:posOffset>33655</wp:posOffset>
                </wp:positionV>
                <wp:extent cx="561975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2.65pt;height:0pt;width:442.5pt;z-index:251659264;mso-width-relative:page;mso-height-relative:page;" filled="f" stroked="t" coordsize="21600,21600" o:allowincell="f" o:gfxdata="UEsDBAoAAAAAAIdO4kAAAAAAAAAAAAAAAAAEAAAAZHJzL1BLAwQUAAAACACHTuJA/4OoQNIAAAAE&#10;AQAADwAAAGRycy9kb3ducmV2LnhtbE2OTU/DMBBE70j8B2uRuFGnQQUrxOkBVFUgLm2RuG6TJQ7E&#10;6zR2P/j3LFzK8WlGM6+cn3yvDjTGLrCF6SQDRVyHpuPWwttmcWNAxYTcYB+YLHxThHl1eVFi0YQj&#10;r+iwTq2SEY4FWnApDYXWsXbkMU7CQCzZRxg9JsGx1c2IRxn3vc6z7E577FgeHA706Kj+Wu+9BXxa&#10;rtK7yV/uu2f3+rlZ7JbO7Ky9vppmD6ASndK5DL/6og6VOG3Dnpuoegu59CzMbkFJaMxMePvHuir1&#10;f/nqB1BLAwQUAAAACACHTuJA8qSxi+UBAACrAwAADgAAAGRycy9lMm9Eb2MueG1srVNLjhMxEN0j&#10;cQfLe9KdaD7QSmcWiYbNAJFmOEDF7U5b2C7LdtLJJbgAEjtYsWTPbRiOQdmdhGHYzIJeWLar6tV7&#10;r9zTq53RbCt9UGhrPh6VnEkrsFF2XfP3d9cvXnIWItgGNFpZ870M/Gr2/Nm0d5WcYIe6kZ4RiA1V&#10;72rexeiqogiikwbCCJ20FGzRG4h09Oui8dATutHFpCwvih594zwKGQLdLoYgPyD6pwBi2yohFyg2&#10;Rto4oHqpIZKk0CkX+CyzbVsp4ru2DTIyXXNSGvNKTWi/Smsxm0K19uA6JQ4U4CkUHmkyoCw1PUEt&#10;IALbePUPlFHCY8A2jgSaYhCSHSEV4/KRN7cdOJm1kNXBnUwP/w9WvN0uPVNNzc84s2Bo4Pefvv/8&#10;+OXXj8+03n/7ys6SSb0LFeXO7dInmWJnb90Nig+BWZx3YNcyk73bO0IYp4rir5J0CI5arfo32FAO&#10;bCJmx3atNwmSvGC7PJj9aTByF5mgy/OL8avLc5qZOMYKqI6Fzof4WqJhaVNzrWzyDCrY3oSYiEB1&#10;TEnXFq+V1nnu2rKe2E4uyzJXBNSqSdGUF/x6NdeebSE9nfxlWRR5mOZxY5uhi7YH1UnoYNkKm/3S&#10;H92gGWY6h/eWHsnDc67+84/Nfg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g6hA0gAAAAQBAAAP&#10;AAAAAAAAAAEAIAAAACIAAABkcnMvZG93bnJldi54bWxQSwECFAAUAAAACACHTuJA8qSxi+UBAACr&#10;AwAADgAAAAAAAAABACAAAAAhAQAAZHJzL2Uyb0RvYy54bWxQSwUGAAAAAAYABgBZAQAAeAUAAAAA&#10;">
                <v:fill on="f" focussize="0,0"/>
                <v:stroke weight="1pt" color="#000000" joinstyle="round"/>
                <v:imagedata o:title=""/>
                <o:lock v:ext="edit" aspectratio="f"/>
              </v:line>
            </w:pict>
          </mc:Fallback>
        </mc:AlternateContent>
      </w:r>
      <w:r>
        <w:rPr>
          <w:rFonts w:ascii="仿宋_GB2312" w:eastAsia="仿宋_GB2312"/>
          <w:spacing w:val="-30"/>
          <w:sz w:val="28"/>
          <w:szCs w:val="28"/>
        </w:rPr>
        <mc:AlternateContent>
          <mc:Choice Requires="wps">
            <w:drawing>
              <wp:anchor distT="0" distB="0" distL="114300" distR="114300" simplePos="0" relativeHeight="251660288" behindDoc="0" locked="0" layoutInCell="0" allowOverlap="1">
                <wp:simplePos x="0" y="0"/>
                <wp:positionH relativeFrom="column">
                  <wp:posOffset>1270</wp:posOffset>
                </wp:positionH>
                <wp:positionV relativeFrom="paragraph">
                  <wp:posOffset>389890</wp:posOffset>
                </wp:positionV>
                <wp:extent cx="5619750" cy="0"/>
                <wp:effectExtent l="0" t="0" r="19050" b="190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30.7pt;height:0pt;width:442.5pt;z-index:251660288;mso-width-relative:page;mso-height-relative:page;" filled="f" stroked="t" coordsize="21600,21600" o:allowincell="f" o:gfxdata="UEsDBAoAAAAAAIdO4kAAAAAAAAAAAAAAAAAEAAAAZHJzL1BLAwQUAAAACACHTuJA0YwA/NMAAAAG&#10;AQAADwAAAGRycy9kb3ducmV2LnhtbE2Oy07DMBBF90j8gzVI7KiTCIqVxukCVFUgNm2R2LrxNA7E&#10;4zR2H/w9g1iU5X3o3lPNz74XRxxjF0hDPslAIDXBdtRqeN8s7hSImAxZ0wdCDd8YYV5fX1WmtOFE&#10;KzyuUyt4hGJpNLiUhlLK2Dj0Jk7CgMTZLozeJJZjK+1oTjzue1lk2VR60xE/ODPgk8Pma33wGszz&#10;cpU+VPH62L24t8/NYr90aq/17U2ezUAkPKdLGX7xGR1qZtqGA9koeg0F9zRM83sQnCr1wMb2z5B1&#10;Jf/j1z9QSwMEFAAAAAgAh07iQMKGLZvkAQAAqwMAAA4AAABkcnMvZTJvRG9jLnhtbK1TwW4TMRC9&#10;I/EPlu9kN6nawiqbHhKVS4FILR8w8XqzFrbHsp1s8hP8ABI3OHHkzt9QPoOxNwmlXHpgD5btmXnz&#10;3hvv9GpnNNtKHxTamo9HJWfSCmyUXdf8/d31i5echQi2AY1W1nwvA7+aPX827V0lJ9ihbqRnBGJD&#10;1buadzG6qiiC6KSBMEInLQVb9AYiHf26aDz0hG50MSnLi6JH3ziPQoZAt4shyA+I/imA2LZKyAWK&#10;jZE2DqheaogkKXTKBT7LbNtWiviubYOMTNeclMa8UhPar9JazKZQrT24TokDBXgKhUeaDChLTU9Q&#10;C4jANl79A2WU8BiwjSOBphiEZEdIxbh85M1tB05mLWR1cCfTw/+DFW+3S89UU/MzziwYGvj9p+8/&#10;P3759eMzrfffvrKzZFLvQkW5c7v0SabY2Vt3g+JDYBbnHdi1zGTv9o4Qxqmi+KskHYKjVqv+DTaU&#10;A5uI2bFd602CJC/YLg9mfxqM3EUm6PL8Yvzq8pxmJo6xAqpjofMhvpZoWNrUXCubPIMKtjchJiJQ&#10;HVPStcVrpXWeu7asJ7aTy7LMFQG1alI05QW/Xs21Z1tITyd/WRZFHqZ53Nhm6KLtQXUSOli2wma/&#10;9Ec3aIaZzuG9pUfy8Jyr//xjs9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RjAD80wAAAAYBAAAP&#10;AAAAAAAAAAEAIAAAACIAAABkcnMvZG93bnJldi54bWxQSwECFAAUAAAACACHTuJAwoYtm+QBAACr&#10;AwAADgAAAAAAAAABACAAAAAiAQAAZHJzL2Uyb0RvYy54bWxQSwUGAAAAAAYABgBZAQAAeAUAAAAA&#10;">
                <v:fill on="f" focussize="0,0"/>
                <v:stroke weight="1pt" color="#000000" joinstyle="round"/>
                <v:imagedata o:title=""/>
                <o:lock v:ext="edit" aspectratio="f"/>
              </v:line>
            </w:pict>
          </mc:Fallback>
        </mc:AlternateContent>
      </w:r>
      <w:r>
        <w:rPr>
          <w:rFonts w:hint="eastAsia" w:ascii="仿宋_GB2312" w:eastAsia="仿宋_GB2312"/>
          <w:sz w:val="28"/>
          <w:szCs w:val="28"/>
        </w:rPr>
        <w:t xml:space="preserve">  </w:t>
      </w:r>
      <w:r>
        <w:rPr>
          <w:rFonts w:hint="eastAsia" w:ascii="仿宋_GB2312" w:eastAsia="仿宋_GB2312"/>
          <w:spacing w:val="0"/>
          <w:sz w:val="28"/>
          <w:szCs w:val="28"/>
        </w:rPr>
        <w:t>威海火炬高技术产业开发区党政办公室</w:t>
      </w:r>
      <w:r>
        <w:rPr>
          <w:rFonts w:hint="eastAsia" w:ascii="仿宋_GB2312" w:eastAsia="仿宋_GB2312"/>
          <w:spacing w:val="-30"/>
          <w:sz w:val="28"/>
          <w:szCs w:val="28"/>
        </w:rPr>
        <w:t xml:space="preserve">        </w:t>
      </w:r>
      <w:r>
        <w:rPr>
          <w:rFonts w:hint="eastAsia" w:ascii="仿宋_GB2312" w:eastAsia="仿宋_GB2312"/>
          <w:spacing w:val="-30"/>
          <w:sz w:val="28"/>
          <w:szCs w:val="28"/>
          <w:lang w:val="en-US" w:eastAsia="zh-CN"/>
        </w:rPr>
        <w:t xml:space="preserve">  </w:t>
      </w:r>
      <w:r>
        <w:rPr>
          <w:rFonts w:eastAsia="仿宋_GB2312"/>
          <w:spacing w:val="0"/>
          <w:sz w:val="28"/>
          <w:szCs w:val="28"/>
        </w:rPr>
        <w:t>20</w:t>
      </w:r>
      <w:r>
        <w:rPr>
          <w:rFonts w:hint="eastAsia" w:eastAsia="仿宋_GB2312"/>
          <w:spacing w:val="0"/>
          <w:sz w:val="28"/>
          <w:szCs w:val="28"/>
        </w:rPr>
        <w:t>2</w:t>
      </w:r>
      <w:r>
        <w:rPr>
          <w:rFonts w:hint="eastAsia" w:eastAsia="仿宋_GB2312"/>
          <w:spacing w:val="0"/>
          <w:sz w:val="28"/>
          <w:szCs w:val="28"/>
          <w:lang w:val="en-US" w:eastAsia="zh-CN"/>
        </w:rPr>
        <w:t>5</w:t>
      </w:r>
      <w:r>
        <w:rPr>
          <w:rFonts w:hint="eastAsia" w:ascii="仿宋_GB2312" w:eastAsia="仿宋_GB2312"/>
          <w:spacing w:val="0"/>
          <w:sz w:val="28"/>
          <w:szCs w:val="28"/>
        </w:rPr>
        <w:t>年</w:t>
      </w:r>
      <w:r>
        <w:rPr>
          <w:rFonts w:hint="eastAsia" w:eastAsia="仿宋_GB2312" w:cs="Times New Roman"/>
          <w:spacing w:val="0"/>
          <w:sz w:val="28"/>
          <w:szCs w:val="28"/>
          <w:lang w:val="en-US" w:eastAsia="zh-CN"/>
        </w:rPr>
        <w:t>6</w:t>
      </w:r>
      <w:r>
        <w:rPr>
          <w:rFonts w:hint="default" w:ascii="Times New Roman" w:hAnsi="Times New Roman" w:eastAsia="仿宋_GB2312" w:cs="Times New Roman"/>
          <w:spacing w:val="0"/>
          <w:sz w:val="28"/>
          <w:szCs w:val="28"/>
        </w:rPr>
        <w:t>月</w:t>
      </w:r>
      <w:r>
        <w:rPr>
          <w:rFonts w:hint="eastAsia" w:eastAsia="仿宋_GB2312" w:cs="Times New Roman"/>
          <w:spacing w:val="0"/>
          <w:sz w:val="28"/>
          <w:szCs w:val="28"/>
          <w:lang w:val="en-US" w:eastAsia="zh-CN"/>
        </w:rPr>
        <w:t>26</w:t>
      </w:r>
      <w:r>
        <w:rPr>
          <w:rFonts w:hint="eastAsia" w:ascii="仿宋_GB2312" w:eastAsia="仿宋_GB2312"/>
          <w:spacing w:val="0"/>
          <w:sz w:val="28"/>
          <w:szCs w:val="28"/>
        </w:rPr>
        <w:t>日印发</w:t>
      </w:r>
      <w:r>
        <w:rPr>
          <w:rFonts w:hint="eastAsia" w:ascii="仿宋_GB2312" w:eastAsia="仿宋_GB2312"/>
          <w:spacing w:val="0"/>
          <w:sz w:val="28"/>
          <w:szCs w:val="28"/>
          <w:lang w:val="en-US" w:eastAsia="zh-CN"/>
        </w:rPr>
        <w:t xml:space="preserve">  </w:t>
      </w: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GWZT-EN">
    <w:panose1 w:val="020204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14:paraId="576CEB9B">
        <w:pPr>
          <w:pStyle w:val="3"/>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14:paraId="51A08E16">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14:paraId="7FE1F164">
        <w:pPr>
          <w:pStyle w:val="3"/>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14:paraId="3DDE7238">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CA1"/>
    <w:rsid w:val="000E20BB"/>
    <w:rsid w:val="0010324F"/>
    <w:rsid w:val="00155185"/>
    <w:rsid w:val="001C657C"/>
    <w:rsid w:val="00306B20"/>
    <w:rsid w:val="003179DC"/>
    <w:rsid w:val="0034435B"/>
    <w:rsid w:val="00385340"/>
    <w:rsid w:val="00396017"/>
    <w:rsid w:val="003E272E"/>
    <w:rsid w:val="00434512"/>
    <w:rsid w:val="004D02D6"/>
    <w:rsid w:val="00516A1A"/>
    <w:rsid w:val="0060283F"/>
    <w:rsid w:val="006379EE"/>
    <w:rsid w:val="00647EF5"/>
    <w:rsid w:val="007815FB"/>
    <w:rsid w:val="00831CB6"/>
    <w:rsid w:val="00874984"/>
    <w:rsid w:val="008D4CA1"/>
    <w:rsid w:val="009D2DFA"/>
    <w:rsid w:val="00A2476A"/>
    <w:rsid w:val="00A44796"/>
    <w:rsid w:val="00AF407C"/>
    <w:rsid w:val="00B85C8E"/>
    <w:rsid w:val="00C567EA"/>
    <w:rsid w:val="00D5487C"/>
    <w:rsid w:val="00D60857"/>
    <w:rsid w:val="00DF08DA"/>
    <w:rsid w:val="00E62203"/>
    <w:rsid w:val="00EB5174"/>
    <w:rsid w:val="00F3654D"/>
    <w:rsid w:val="00F4451E"/>
    <w:rsid w:val="00FE5848"/>
    <w:rsid w:val="02752ABC"/>
    <w:rsid w:val="096C2E78"/>
    <w:rsid w:val="0A3936E0"/>
    <w:rsid w:val="0F0C3046"/>
    <w:rsid w:val="1AF63A18"/>
    <w:rsid w:val="228F2B4D"/>
    <w:rsid w:val="331B36C2"/>
    <w:rsid w:val="47051A27"/>
    <w:rsid w:val="5DBB96B1"/>
    <w:rsid w:val="5E9838F9"/>
    <w:rsid w:val="605F6DDD"/>
    <w:rsid w:val="60DA3DC4"/>
    <w:rsid w:val="67F6CD7A"/>
    <w:rsid w:val="6EFFDB0E"/>
    <w:rsid w:val="70E7F8C7"/>
    <w:rsid w:val="73BFE56E"/>
    <w:rsid w:val="77D7551F"/>
    <w:rsid w:val="7B28DAA2"/>
    <w:rsid w:val="7DBFA8EC"/>
    <w:rsid w:val="7E0FBBFB"/>
    <w:rsid w:val="7E3AA5E1"/>
    <w:rsid w:val="D5DCCA2F"/>
    <w:rsid w:val="DF072BB9"/>
    <w:rsid w:val="F973A990"/>
    <w:rsid w:val="FBFE3E6C"/>
    <w:rsid w:val="FCFEA70E"/>
    <w:rsid w:val="FF471C32"/>
    <w:rsid w:val="FFEBAE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adjustRightInd w:val="0"/>
      <w:snapToGrid w:val="0"/>
      <w:spacing w:before="120" w:beforeLines="0" w:after="120" w:afterLines="0" w:line="560" w:lineRule="exact"/>
      <w:outlineLvl w:val="0"/>
    </w:pPr>
    <w:rPr>
      <w:rFonts w:ascii="宋体" w:hAnsi="宋体" w:eastAsia="黑体"/>
      <w:bCs/>
      <w:kern w:val="44"/>
      <w:sz w:val="32"/>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val="0"/>
      <w:spacing w:before="100" w:beforeAutospacing="1" w:after="100" w:afterAutospacing="1"/>
    </w:pPr>
    <w:rPr>
      <w:rFonts w:ascii="Calibri" w:hAnsi="Calibri" w:eastAsia="宋体" w:cs="Times New Roman"/>
      <w:kern w:val="0"/>
      <w:sz w:val="24"/>
      <w:szCs w:val="22"/>
      <w:lang w:val="en-US" w:eastAsia="zh-CN" w:bidi="ar-SA"/>
    </w:rPr>
  </w:style>
  <w:style w:type="character" w:customStyle="1" w:styleId="8">
    <w:name w:val="页脚 Char"/>
    <w:basedOn w:val="7"/>
    <w:link w:val="3"/>
    <w:qFormat/>
    <w:uiPriority w:val="99"/>
    <w:rPr>
      <w:rFonts w:ascii="Times New Roman" w:hAnsi="Times New Roman" w:eastAsia="宋体" w:cs="Times New Roman"/>
      <w:sz w:val="18"/>
      <w:szCs w:val="18"/>
    </w:rPr>
  </w:style>
  <w:style w:type="character" w:customStyle="1" w:styleId="9">
    <w:name w:val="页眉 Char"/>
    <w:basedOn w:val="7"/>
    <w:link w:val="4"/>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4950</Words>
  <Characters>5057</Characters>
  <Lines>4</Lines>
  <Paragraphs>1</Paragraphs>
  <TotalTime>7</TotalTime>
  <ScaleCrop>false</ScaleCrop>
  <LinksUpToDate>false</LinksUpToDate>
  <CharactersWithSpaces>5071</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2020-07-31T07:57:00Z</dcterms:created>
  <dc:creator>CN=黄伟/O=wh.torch</dc:creator>
  <cp:lastModifiedBy>user</cp:lastModifiedBy>
  <cp:lastPrinted>2025-04-25T01:24:00Z</cp:lastPrinted>
  <dcterms:modified xsi:type="dcterms:W3CDTF">2025-06-26T15:13:23Z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KSOTemplateDocerSaveRecord">
    <vt:lpwstr>eyJoZGlkIjoiODg1MGNiZTI1N2QxMGJmNDI0YjAxMGEyZTllYzkzYzMiLCJ1c2VySWQiOiIzMTg3MzkzNzEifQ==</vt:lpwstr>
  </property>
  <property fmtid="{D5CDD505-2E9C-101B-9397-08002B2CF9AE}" pid="4" name="ICV">
    <vt:lpwstr>5EDD1A2E02E2B20481B45B68EA060AEB_43</vt:lpwstr>
  </property>
</Properties>
</file>