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jc w:val="both"/>
        <w:rPr>
          <w:rFonts w:hint="eastAsia" w:ascii="文星简小标" w:eastAsia="文星简小标" w:cs="宋体"/>
          <w:color w:val="333333"/>
        </w:rPr>
      </w:pPr>
    </w:p>
    <w:p>
      <w:pPr>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威海火炬高技术产业开发区</w:t>
      </w:r>
      <w:r>
        <w:rPr>
          <w:rFonts w:hint="eastAsia" w:ascii="方正小标宋简体" w:hAnsi="方正小标宋简体" w:eastAsia="方正小标宋简体" w:cs="方正小标宋简体"/>
          <w:color w:val="000000"/>
          <w:sz w:val="44"/>
          <w:szCs w:val="44"/>
        </w:rPr>
        <w:t>财政局</w:t>
      </w:r>
    </w:p>
    <w:p>
      <w:pPr>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2019年政府信息公开工作</w:t>
      </w:r>
      <w:r>
        <w:rPr>
          <w:rFonts w:hint="eastAsia" w:ascii="方正小标宋简体" w:hAnsi="方正小标宋简体" w:eastAsia="方正小标宋简体" w:cs="方正小标宋简体"/>
          <w:color w:val="000000"/>
          <w:sz w:val="44"/>
          <w:szCs w:val="44"/>
          <w:lang w:eastAsia="zh-CN"/>
        </w:rPr>
        <w:t>年度</w:t>
      </w:r>
      <w:r>
        <w:rPr>
          <w:rFonts w:hint="eastAsia" w:ascii="方正小标宋简体" w:hAnsi="方正小标宋简体" w:eastAsia="方正小标宋简体" w:cs="方正小标宋简体"/>
          <w:color w:val="000000"/>
          <w:sz w:val="44"/>
          <w:szCs w:val="44"/>
        </w:rPr>
        <w:t>报告</w:t>
      </w:r>
    </w:p>
    <w:p>
      <w:pPr>
        <w:pStyle w:val="4"/>
        <w:widowControl/>
        <w:shd w:val="clear" w:color="auto" w:fill="FFFFFF"/>
        <w:spacing w:beforeAutospacing="0" w:afterAutospacing="0" w:line="560" w:lineRule="exact"/>
        <w:ind w:firstLine="480" w:firstLineChars="200"/>
        <w:jc w:val="both"/>
        <w:rPr>
          <w:rFonts w:hint="eastAsia" w:ascii="方正小标宋简体" w:hAnsi="方正小标宋简体" w:eastAsia="方正小标宋简体" w:cs="方正小标宋简体"/>
          <w:color w:val="333333"/>
        </w:rPr>
      </w:pP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pPr>
        <w:spacing w:line="560" w:lineRule="exact"/>
        <w:ind w:firstLine="640" w:firstLineChars="200"/>
        <w:rPr>
          <w:rFonts w:hint="eastAsia" w:ascii="仿宋_GB2312" w:eastAsia="仿宋_GB2312"/>
          <w:color w:val="000000"/>
        </w:rPr>
      </w:pPr>
      <w:r>
        <w:rPr>
          <w:rFonts w:hint="eastAsia" w:ascii="仿宋_GB2312" w:eastAsia="仿宋_GB2312"/>
          <w:color w:val="000000"/>
        </w:rPr>
        <w:t>2019年，高区财政局在区党工委、管委的正确领导下，认真贯彻落实</w:t>
      </w:r>
      <w:r>
        <w:rPr>
          <w:rFonts w:hint="eastAsia" w:eastAsia="仿宋_GB2312"/>
        </w:rPr>
        <w:t>《中华人民共和国政府信息公开条例》和《山东省政府信息公开办法》</w:t>
      </w:r>
      <w:r>
        <w:rPr>
          <w:rFonts w:hint="eastAsia" w:ascii="仿宋_GB2312" w:eastAsia="仿宋_GB2312"/>
          <w:color w:val="000000"/>
        </w:rPr>
        <w:t>，扎实</w:t>
      </w:r>
      <w:bookmarkStart w:id="0" w:name="_GoBack"/>
      <w:bookmarkEnd w:id="0"/>
      <w:r>
        <w:rPr>
          <w:rFonts w:hint="eastAsia" w:ascii="仿宋_GB2312" w:eastAsia="仿宋_GB2312"/>
          <w:color w:val="000000"/>
        </w:rPr>
        <w:t>开展各项政府信息公开工作。</w:t>
      </w:r>
      <w:r>
        <w:rPr>
          <w:rFonts w:hint="eastAsia" w:ascii="仿宋_GB2312" w:eastAsia="仿宋_GB2312"/>
        </w:rPr>
        <w:t>主要通过</w:t>
      </w:r>
      <w:r>
        <w:rPr>
          <w:rFonts w:hint="eastAsia" w:ascii="仿宋_GB2312" w:eastAsia="仿宋_GB2312"/>
          <w:szCs w:val="32"/>
        </w:rPr>
        <w:t>管委网站</w:t>
      </w:r>
      <w:r>
        <w:rPr>
          <w:rFonts w:hint="eastAsia" w:ascii="仿宋_GB2312" w:eastAsia="仿宋_GB2312"/>
        </w:rPr>
        <w:t>以及</w:t>
      </w:r>
      <w:r>
        <w:rPr>
          <w:rFonts w:hint="eastAsia" w:ascii="仿宋_GB2312" w:eastAsia="仿宋_GB2312"/>
          <w:szCs w:val="32"/>
        </w:rPr>
        <w:t>公告栏等多种形式，及时、有效地主动公开财政信息，为广大公众提供了比较好的政府信息公开服务。</w:t>
      </w:r>
      <w:r>
        <w:rPr>
          <w:rFonts w:hint="eastAsia" w:ascii="仿宋_GB2312" w:eastAsia="仿宋_GB2312"/>
          <w:color w:val="000000"/>
        </w:rPr>
        <w:t>在政府信息公开方面，主动公开与群众咨询公开相结合，不断强化信息公开的“全面度”，着力提高财政透明度和办事效率，服务群众需要；在制度建设上，继续完善各种制度规章，依法、按时公开各种政府信息，促进依法行政，全面接受社会监督；在平台建设上，完善高区财政局政府信息公开网站，增加了政府信息公开的方式以及实效性；在积极推进预算公开方面，按照统一要求，及时在管委网站上公开了全区财政预决算，在网站上公开了部门预决算及三公经费情况。</w:t>
      </w:r>
    </w:p>
    <w:p>
      <w:pPr>
        <w:spacing w:line="560" w:lineRule="exact"/>
        <w:ind w:firstLine="640" w:firstLineChars="200"/>
        <w:rPr>
          <w:rFonts w:hint="eastAsia" w:ascii="仿宋_GB2312" w:eastAsia="仿宋_GB2312"/>
          <w:color w:val="000000"/>
        </w:rPr>
      </w:pPr>
    </w:p>
    <w:p>
      <w:pPr>
        <w:pStyle w:val="4"/>
        <w:widowControl/>
        <w:shd w:val="clear" w:color="auto" w:fill="FFFFFF"/>
        <w:spacing w:beforeAutospacing="0" w:after="240" w:afterAutospacing="0" w:line="560" w:lineRule="exact"/>
        <w:ind w:firstLine="640" w:firstLineChars="200"/>
        <w:jc w:val="both"/>
        <w:rPr>
          <w:rFonts w:eastAsia="宋体" w:cs="宋体"/>
          <w:color w:val="333333"/>
        </w:rPr>
      </w:pPr>
      <w:r>
        <w:rPr>
          <w:rFonts w:hint="eastAsia" w:ascii="黑体" w:hAnsi="黑体" w:eastAsia="黑体" w:cs="黑体"/>
          <w:bCs/>
          <w:color w:val="333333"/>
          <w:sz w:val="32"/>
          <w:szCs w:val="32"/>
          <w:shd w:val="clear" w:color="auto" w:fill="FFFFFF"/>
        </w:rPr>
        <w:t>二、主动公开政府信息情况</w:t>
      </w:r>
    </w:p>
    <w:tbl>
      <w:tblPr>
        <w:tblStyle w:val="5"/>
        <w:tblW w:w="8140" w:type="dxa"/>
        <w:jc w:val="center"/>
        <w:tblLayout w:type="fixed"/>
        <w:tblCellMar>
          <w:top w:w="0" w:type="dxa"/>
          <w:left w:w="0" w:type="dxa"/>
          <w:bottom w:w="0" w:type="dxa"/>
          <w:right w:w="0" w:type="dxa"/>
        </w:tblCellMar>
      </w:tblPr>
      <w:tblGrid>
        <w:gridCol w:w="3113"/>
        <w:gridCol w:w="1869"/>
        <w:gridCol w:w="1277"/>
        <w:gridCol w:w="1881"/>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pPr>
            <w:r>
              <w:rPr>
                <w:rFonts w:hint="eastAsia" w:eastAsia="宋体" w:cs="宋体"/>
                <w:color w:val="000000"/>
                <w:kern w:val="0"/>
                <w:szCs w:val="32"/>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rPr>
              <w:t>本年新</w:t>
            </w:r>
            <w:r>
              <w:rPr>
                <w:rFonts w:hint="eastAsia" w:ascii="仿宋_GB2312" w:hAnsi="仿宋_GB2312" w:eastAsia="仿宋_GB2312" w:cs="仿宋_GB2312"/>
                <w:color w:val="000000"/>
                <w:kern w:val="0"/>
                <w:sz w:val="30"/>
                <w:szCs w:val="30"/>
              </w:rPr>
              <w:br w:type="textWrapping"/>
            </w:r>
            <w:r>
              <w:rPr>
                <w:rFonts w:hint="eastAsia" w:ascii="仿宋_GB2312" w:hAnsi="仿宋_GB2312" w:eastAsia="仿宋_GB2312" w:cs="仿宋_GB2312"/>
                <w:kern w:val="0"/>
                <w:sz w:val="30"/>
                <w:szCs w:val="30"/>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rFonts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rPr>
              <w:t>本年新</w:t>
            </w:r>
            <w:r>
              <w:rPr>
                <w:rFonts w:hint="eastAsia" w:ascii="仿宋_GB2312" w:hAnsi="仿宋_GB2312" w:eastAsia="仿宋_GB2312" w:cs="仿宋_GB2312"/>
                <w:color w:val="000000"/>
                <w:kern w:val="0"/>
                <w:sz w:val="30"/>
                <w:szCs w:val="30"/>
              </w:rPr>
              <w:br w:type="textWrapping"/>
            </w:r>
            <w:r>
              <w:rPr>
                <w:rFonts w:hint="eastAsia" w:ascii="仿宋_GB2312" w:hAnsi="仿宋_GB2312" w:eastAsia="仿宋_GB2312" w:cs="仿宋_GB2312"/>
                <w:kern w:val="0"/>
                <w:sz w:val="30"/>
                <w:szCs w:val="30"/>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规章</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规范性文件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pPr>
            <w:r>
              <w:rPr>
                <w:rFonts w:hint="eastAsia" w:eastAsia="宋体" w:cs="宋体"/>
                <w:color w:val="000000"/>
                <w:kern w:val="0"/>
                <w:szCs w:val="32"/>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本年</w:t>
            </w:r>
          </w:p>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行政许可</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其他对外管理服务事项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pPr>
            <w:r>
              <w:rPr>
                <w:rFonts w:hint="eastAsia" w:eastAsia="宋体" w:cs="宋体"/>
                <w:color w:val="000000"/>
                <w:kern w:val="0"/>
                <w:szCs w:val="32"/>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处理决定数量</w:t>
            </w:r>
          </w:p>
        </w:tc>
      </w:tr>
      <w:tr>
        <w:tblPrEx>
          <w:tblCellMar>
            <w:top w:w="0" w:type="dxa"/>
            <w:left w:w="0" w:type="dxa"/>
            <w:bottom w:w="0" w:type="dxa"/>
            <w:right w:w="0" w:type="dxa"/>
          </w:tblCellMar>
        </w:tblPrEx>
        <w:trPr>
          <w:trHeight w:val="73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行政处罚</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81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行政强制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pPr>
            <w:r>
              <w:rPr>
                <w:rFonts w:hint="eastAsia" w:eastAsia="宋体" w:cs="宋体"/>
                <w:color w:val="000000"/>
                <w:kern w:val="0"/>
                <w:szCs w:val="32"/>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行政事业性收费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r>
      <w:tr>
        <w:tblPrEx>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pPr>
            <w:r>
              <w:rPr>
                <w:rFonts w:hint="eastAsia" w:eastAsia="宋体" w:cs="宋体"/>
                <w:color w:val="000000"/>
                <w:kern w:val="0"/>
                <w:szCs w:val="32"/>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采购项目</w:t>
            </w:r>
          </w:p>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政府集中采购</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　</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spacing w:after="180" w:line="360" w:lineRule="exact"/>
              <w:jc w:val="center"/>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0</w:t>
            </w:r>
          </w:p>
        </w:tc>
      </w:tr>
    </w:tbl>
    <w:p>
      <w:pPr>
        <w:pStyle w:val="4"/>
        <w:widowControl/>
        <w:shd w:val="clear" w:color="auto" w:fill="FFFFFF"/>
        <w:spacing w:beforeAutospacing="0" w:afterAutospacing="0"/>
        <w:ind w:firstLine="420"/>
        <w:jc w:val="both"/>
        <w:rPr>
          <w:rFonts w:eastAsia="宋体" w:cs="宋体"/>
          <w:color w:val="333333"/>
        </w:rPr>
      </w:pPr>
    </w:p>
    <w:p>
      <w:pPr>
        <w:pStyle w:val="4"/>
        <w:widowControl/>
        <w:shd w:val="clear" w:color="auto" w:fill="FFFFFF"/>
        <w:spacing w:beforeAutospacing="0" w:afterAutospacing="0"/>
        <w:ind w:firstLine="420"/>
        <w:jc w:val="both"/>
        <w:rPr>
          <w:rFonts w:eastAsia="宋体" w:cs="宋体"/>
          <w:color w:val="333333"/>
        </w:rPr>
      </w:pP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三、收到和处理政府信息公开申请情况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6"/>
        <w:gridCol w:w="931"/>
        <w:gridCol w:w="2009"/>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20" w:lineRule="exact"/>
              <w:rPr>
                <w:szCs w:val="32"/>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 w:val="24"/>
              </w:rPr>
            </w:pPr>
            <w:r>
              <w:rPr>
                <w:rFonts w:hint="eastAsia" w:eastAsia="宋体" w:cs="宋体"/>
                <w:kern w:val="0"/>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20" w:lineRule="exact"/>
              <w:rPr>
                <w:szCs w:val="32"/>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rPr>
                <w:szCs w:val="32"/>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20" w:lineRule="exact"/>
              <w:jc w:val="center"/>
              <w:rPr>
                <w:szCs w:val="32"/>
              </w:rPr>
            </w:pPr>
            <w:r>
              <w:rPr>
                <w:rFonts w:hint="eastAsia" w:eastAsia="宋体" w:cs="宋体"/>
                <w:kern w:val="0"/>
                <w:szCs w:val="32"/>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rPr>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宋体" w:cs="宋体"/>
                <w:kern w:val="0"/>
                <w:sz w:val="28"/>
                <w:szCs w:val="28"/>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宋体" w:cs="宋体"/>
                <w:kern w:val="0"/>
                <w:sz w:val="28"/>
                <w:szCs w:val="28"/>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eastAsia="宋体" w:cs="宋体"/>
                <w:kern w:val="0"/>
                <w:sz w:val="28"/>
                <w:szCs w:val="28"/>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（三）不予公开</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ind w:firstLine="140" w:firstLineChars="50"/>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（四）无法提供</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ind w:firstLine="140" w:firstLineChars="50"/>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ind w:firstLine="140" w:firstLineChars="50"/>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（五）不予处理</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360" w:lineRule="exact"/>
              <w:rPr>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楷体" w:cs="楷体"/>
                <w:kern w:val="0"/>
                <w:sz w:val="28"/>
                <w:szCs w:val="28"/>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center"/>
              <w:rPr>
                <w:sz w:val="28"/>
                <w:szCs w:val="28"/>
              </w:rPr>
            </w:pPr>
            <w:r>
              <w:rPr>
                <w:rFonts w:hint="eastAsia" w:cs="Calibri"/>
                <w:kern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360" w:lineRule="exact"/>
              <w:jc w:val="left"/>
              <w:rPr>
                <w:sz w:val="28"/>
                <w:szCs w:val="28"/>
              </w:rPr>
            </w:pPr>
            <w:r>
              <w:rPr>
                <w:rFonts w:hint="eastAsia" w:eastAsia="宋体" w:cs="宋体"/>
                <w:kern w:val="0"/>
                <w:sz w:val="28"/>
                <w:szCs w:val="28"/>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ind w:firstLine="140" w:firstLineChars="50"/>
              <w:jc w:val="center"/>
              <w:rPr>
                <w:sz w:val="28"/>
                <w:szCs w:val="28"/>
              </w:rPr>
            </w:pPr>
            <w:r>
              <w:rPr>
                <w:rFonts w:hint="eastAsia"/>
                <w:sz w:val="28"/>
                <w:szCs w:val="28"/>
              </w:rPr>
              <w:t>0</w:t>
            </w:r>
          </w:p>
        </w:tc>
      </w:tr>
    </w:tbl>
    <w:p>
      <w:pPr>
        <w:pStyle w:val="4"/>
        <w:widowControl/>
        <w:shd w:val="clear" w:color="auto" w:fill="FFFFFF"/>
        <w:spacing w:beforeAutospacing="0" w:afterAutospacing="0"/>
        <w:ind w:firstLine="420"/>
        <w:jc w:val="both"/>
        <w:rPr>
          <w:rFonts w:eastAsia="宋体" w:cs="宋体"/>
          <w:color w:val="333333"/>
        </w:rPr>
      </w:pP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四、政府信息公开行政复议、行政诉讼情况</w:t>
      </w:r>
    </w:p>
    <w:p>
      <w:pPr>
        <w:pStyle w:val="4"/>
        <w:widowControl/>
        <w:shd w:val="clear" w:color="auto" w:fill="FFFFFF"/>
        <w:spacing w:beforeAutospacing="0" w:afterAutospacing="0" w:line="560" w:lineRule="exact"/>
        <w:ind w:firstLine="1134"/>
        <w:jc w:val="both"/>
        <w:rPr>
          <w:rFonts w:eastAsia="宋体" w:cs="宋体"/>
          <w:color w:val="333333"/>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color w:val="000000"/>
                <w:kern w:val="0"/>
                <w:sz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color w:val="000000"/>
                <w:kern w:val="0"/>
                <w:sz w:val="24"/>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kern w:val="0"/>
                <w:sz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rPr>
            </w:pPr>
            <w:r>
              <w:rPr>
                <w:rFonts w:hint="eastAsia" w:eastAsia="宋体" w:cs="宋体"/>
                <w:color w:val="000000"/>
                <w:kern w:val="0"/>
                <w:sz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pPr>
            <w:r>
              <w:rPr>
                <w:rFonts w:hint="eastAsia" w:cs="Calibri"/>
                <w:kern w:val="0"/>
                <w:sz w:val="28"/>
                <w:szCs w:val="28"/>
              </w:rPr>
              <w:t>0</w:t>
            </w:r>
          </w:p>
        </w:tc>
      </w:tr>
    </w:tbl>
    <w:p>
      <w:pPr>
        <w:widowControl/>
        <w:shd w:val="clear" w:color="auto" w:fill="FFFFFF"/>
        <w:spacing w:line="560" w:lineRule="exact"/>
        <w:ind w:firstLine="480" w:firstLineChars="200"/>
        <w:jc w:val="center"/>
        <w:rPr>
          <w:rFonts w:eastAsia="宋体" w:cs="宋体"/>
          <w:color w:val="333333"/>
          <w:sz w:val="24"/>
        </w:rPr>
      </w:pPr>
    </w:p>
    <w:p>
      <w:pPr>
        <w:pStyle w:val="4"/>
        <w:widowControl/>
        <w:shd w:val="clear" w:color="auto" w:fill="FFFFFF"/>
        <w:spacing w:beforeAutospacing="0" w:afterAutospacing="0" w:line="560" w:lineRule="exact"/>
        <w:ind w:firstLine="640" w:firstLineChars="200"/>
        <w:jc w:val="both"/>
        <w:rPr>
          <w:rFonts w:hint="eastAsia"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五、存在的主要问题及改进情况</w:t>
      </w:r>
    </w:p>
    <w:p>
      <w:pPr>
        <w:pStyle w:val="4"/>
        <w:widowControl/>
        <w:shd w:val="clear" w:color="auto" w:fill="FFFFFF"/>
        <w:spacing w:beforeAutospacing="0" w:afterAutospacing="0" w:line="560" w:lineRule="exact"/>
        <w:ind w:firstLine="640" w:firstLineChars="200"/>
        <w:jc w:val="both"/>
        <w:rPr>
          <w:rFonts w:hint="eastAsia" w:ascii="黑体" w:hAnsi="黑体" w:eastAsia="黑体" w:cs="黑体"/>
          <w:bCs/>
          <w:color w:val="333333"/>
          <w:sz w:val="32"/>
          <w:szCs w:val="32"/>
          <w:shd w:val="clear" w:color="auto" w:fill="FFFFFF"/>
        </w:rPr>
      </w:pPr>
      <w:r>
        <w:rPr>
          <w:rFonts w:hint="eastAsia" w:ascii="仿宋_GB2312" w:eastAsia="仿宋_GB2312"/>
          <w:sz w:val="32"/>
          <w:szCs w:val="32"/>
        </w:rPr>
        <w:t>在政府信息公开的工作中，目前还存在公开的信息不全面、公开渠道较单一、公众知晓率不够高等问题，我们将加大涉及公民、法人和其他组织切身利益以及需要社会公众广泛知晓或者参与的信息的公开力度，利用管委网站和服务窗口继续及时、准确地为公众提供服务。</w:t>
      </w: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六、其他需要报告的事项</w:t>
      </w:r>
    </w:p>
    <w:p>
      <w:pPr>
        <w:widowControl/>
        <w:spacing w:line="560" w:lineRule="exact"/>
        <w:ind w:firstLine="640" w:firstLineChars="200"/>
        <w:jc w:val="left"/>
        <w:rPr>
          <w:rFonts w:hint="eastAsia" w:ascii="仿宋_GB2312" w:eastAsia="仿宋_GB2312"/>
          <w:szCs w:val="32"/>
        </w:rPr>
      </w:pPr>
      <w:r>
        <w:rPr>
          <w:rFonts w:hint="eastAsia" w:ascii="仿宋_GB2312" w:eastAsia="仿宋_GB2312"/>
          <w:szCs w:val="32"/>
        </w:rPr>
        <w:t>2019年，没有需要特殊说明的事项。</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简小标">
    <w:altName w:val="宋体"/>
    <w:panose1 w:val="0201060900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00A22F1"/>
    <w:rsid w:val="00242DA5"/>
    <w:rsid w:val="004E0F83"/>
    <w:rsid w:val="004E69AE"/>
    <w:rsid w:val="00517CE4"/>
    <w:rsid w:val="0062336E"/>
    <w:rsid w:val="00CE6B74"/>
    <w:rsid w:val="00D106BB"/>
    <w:rsid w:val="00ED6F82"/>
    <w:rsid w:val="00FC48AC"/>
    <w:rsid w:val="34D86C5C"/>
    <w:rsid w:val="58AE58CA"/>
    <w:rsid w:val="60DD4481"/>
    <w:rsid w:val="7E5044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eastAsiaTheme="minorEastAsia" w:cstheme="minorBidi"/>
      <w:kern w:val="2"/>
      <w:sz w:val="18"/>
      <w:szCs w:val="18"/>
    </w:rPr>
  </w:style>
  <w:style w:type="character" w:customStyle="1" w:styleId="8">
    <w:name w:val="页脚 Char"/>
    <w:basedOn w:val="6"/>
    <w:link w:val="2"/>
    <w:qFormat/>
    <w:uiPriority w:val="0"/>
    <w:rPr>
      <w:rFonts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UQi.me</Company>
  <Pages>5</Pages>
  <Words>275</Words>
  <Characters>1568</Characters>
  <Lines>13</Lines>
  <Paragraphs>3</Paragraphs>
  <TotalTime>8</TotalTime>
  <ScaleCrop>false</ScaleCrop>
  <LinksUpToDate>false</LinksUpToDate>
  <CharactersWithSpaces>1840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2020-01-15T06:53:00Z</dcterms:created>
  <dc:creator>Administrator</dc:creator>
  <cp:lastModifiedBy>Keep Amazing</cp:lastModifiedBy>
  <cp:lastPrinted>2020-01-15T06:53:00Z</cp:lastPrinted>
  <dcterms:modified xsi:type="dcterms:W3CDTF">2020-04-02T07:41:28Z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