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威海火炬高技术产业开发电热暖手器产品质量监督抽查实施细则</w:t>
      </w: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outlineLvl w:val="0"/>
        <w:rPr>
          <w:rFonts w:hint="eastAsia" w:ascii="黑体" w:hAnsi="黑体" w:eastAsia="黑体" w:cs="黑体"/>
          <w:b w:val="0"/>
          <w:bCs w:val="0"/>
          <w:snapToGrid w:val="0"/>
          <w:color w:val="auto"/>
          <w:spacing w:val="-1"/>
          <w:kern w:val="0"/>
          <w:sz w:val="28"/>
          <w:szCs w:val="28"/>
          <w:lang w:eastAsia="zh-CN"/>
        </w:rPr>
      </w:pPr>
      <w:r>
        <w:rPr>
          <w:rFonts w:hint="eastAsia" w:ascii="黑体" w:hAnsi="黑体" w:eastAsia="黑体" w:cs="黑体"/>
          <w:b w:val="0"/>
          <w:bCs w:val="0"/>
          <w:snapToGrid w:val="0"/>
          <w:color w:val="auto"/>
          <w:spacing w:val="-1"/>
          <w:kern w:val="0"/>
          <w:sz w:val="28"/>
          <w:szCs w:val="28"/>
          <w:lang w:eastAsia="zh-CN"/>
        </w:rPr>
        <w:t>（2024 年版）</w:t>
      </w:r>
    </w:p>
    <w:p>
      <w:pPr>
        <w:pStyle w:val="2"/>
        <w:keepNext w:val="0"/>
        <w:keepLines w:val="0"/>
        <w:pageBreakBefore w:val="0"/>
        <w:widowControl/>
        <w:kinsoku w:val="0"/>
        <w:wordWrap/>
        <w:overflowPunct/>
        <w:topLinePunct w:val="0"/>
        <w:autoSpaceDE w:val="0"/>
        <w:autoSpaceDN w:val="0"/>
        <w:bidi w:val="0"/>
        <w:adjustRightInd w:val="0"/>
        <w:snapToGrid w:val="0"/>
        <w:spacing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1 抽样 </w:t>
      </w:r>
    </w:p>
    <w:p>
      <w:pPr>
        <w:widowControl/>
        <w:spacing w:line="360" w:lineRule="auto"/>
        <w:jc w:val="left"/>
      </w:pPr>
      <w:r>
        <w:rPr>
          <w:rFonts w:hint="eastAsia" w:ascii="宋体" w:hAnsi="宋体" w:eastAsia="宋体" w:cs="宋体"/>
          <w:color w:val="000000"/>
          <w:kern w:val="0"/>
          <w:sz w:val="20"/>
          <w:szCs w:val="20"/>
        </w:rPr>
        <w:t xml:space="preserve">1.1 抽样方法 </w:t>
      </w:r>
    </w:p>
    <w:p>
      <w:pPr>
        <w:widowControl/>
        <w:spacing w:line="360" w:lineRule="auto"/>
        <w:ind w:firstLine="400" w:firstLineChars="200"/>
        <w:jc w:val="left"/>
      </w:pPr>
      <w:r>
        <w:rPr>
          <w:rFonts w:hint="eastAsia" w:ascii="宋体" w:hAnsi="宋体" w:eastAsia="宋体" w:cs="宋体"/>
          <w:color w:val="000000"/>
          <w:kern w:val="0"/>
          <w:sz w:val="20"/>
          <w:szCs w:val="20"/>
        </w:rPr>
        <w:t>以随机抽样的方式在被抽样</w:t>
      </w:r>
      <w:bookmarkStart w:id="0" w:name="_GoBack"/>
      <w:bookmarkEnd w:id="0"/>
      <w:r>
        <w:rPr>
          <w:rFonts w:hint="eastAsia" w:ascii="宋体" w:hAnsi="宋体" w:eastAsia="宋体" w:cs="宋体"/>
          <w:color w:val="000000"/>
          <w:kern w:val="0"/>
          <w:sz w:val="20"/>
          <w:szCs w:val="20"/>
        </w:rPr>
        <w:t xml:space="preserve">销售者的待销产品中抽取。 </w:t>
      </w:r>
    </w:p>
    <w:p>
      <w:pPr>
        <w:widowControl/>
        <w:spacing w:line="360" w:lineRule="auto"/>
        <w:jc w:val="left"/>
      </w:pPr>
      <w:r>
        <w:rPr>
          <w:rFonts w:hint="eastAsia" w:ascii="宋体" w:hAnsi="宋体" w:eastAsia="宋体" w:cs="宋体"/>
          <w:color w:val="000000"/>
          <w:kern w:val="0"/>
          <w:sz w:val="20"/>
          <w:szCs w:val="20"/>
        </w:rPr>
        <w:t xml:space="preserve">1.2 抽样基数 </w:t>
      </w:r>
    </w:p>
    <w:p>
      <w:pPr>
        <w:widowControl/>
        <w:spacing w:line="360" w:lineRule="auto"/>
        <w:ind w:firstLine="400" w:firstLineChars="200"/>
        <w:jc w:val="left"/>
      </w:pPr>
      <w:r>
        <w:rPr>
          <w:rFonts w:hint="eastAsia" w:ascii="宋体" w:hAnsi="宋体" w:eastAsia="宋体" w:cs="宋体"/>
          <w:color w:val="000000"/>
          <w:kern w:val="0"/>
          <w:sz w:val="20"/>
          <w:szCs w:val="20"/>
        </w:rPr>
        <w:t xml:space="preserve">抽查样品基数满足抽样数量即可。 </w:t>
      </w:r>
    </w:p>
    <w:p>
      <w:pPr>
        <w:widowControl/>
        <w:spacing w:line="360" w:lineRule="auto"/>
        <w:jc w:val="left"/>
      </w:pPr>
      <w:r>
        <w:rPr>
          <w:rFonts w:hint="eastAsia" w:ascii="宋体" w:hAnsi="宋体" w:eastAsia="宋体" w:cs="宋体"/>
          <w:color w:val="000000"/>
          <w:kern w:val="0"/>
          <w:sz w:val="20"/>
          <w:szCs w:val="20"/>
        </w:rPr>
        <w:t xml:space="preserve">1.3 抽样数量 </w:t>
      </w:r>
    </w:p>
    <w:p>
      <w:pPr>
        <w:widowControl/>
        <w:spacing w:line="360" w:lineRule="auto"/>
        <w:ind w:firstLine="400" w:firstLineChars="200"/>
        <w:jc w:val="left"/>
      </w:pPr>
      <w:r>
        <w:rPr>
          <w:rFonts w:hint="eastAsia" w:ascii="宋体" w:hAnsi="宋体" w:eastAsia="宋体" w:cs="宋体"/>
          <w:color w:val="000000"/>
          <w:kern w:val="0"/>
          <w:sz w:val="20"/>
          <w:szCs w:val="20"/>
        </w:rPr>
        <w:t xml:space="preserve">每批次产品抽取样品 2 台，其中 1 台作为检验样品，1 台作为备用样品。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2 检验项目及检测方法 </w:t>
      </w:r>
    </w:p>
    <w:p>
      <w:pPr>
        <w:widowControl/>
        <w:jc w:val="center"/>
      </w:pPr>
      <w:r>
        <w:rPr>
          <w:rFonts w:hint="eastAsia" w:ascii="宋体" w:hAnsi="宋体" w:eastAsia="宋体" w:cs="宋体"/>
          <w:b/>
          <w:bCs/>
          <w:color w:val="000000"/>
          <w:kern w:val="0"/>
          <w:sz w:val="20"/>
          <w:szCs w:val="20"/>
        </w:rPr>
        <w:t xml:space="preserve">表 1 </w:t>
      </w:r>
      <w:r>
        <w:rPr>
          <w:rFonts w:hint="eastAsia" w:ascii="宋体" w:hAnsi="宋体" w:eastAsia="宋体" w:cs="宋体"/>
          <w:b/>
          <w:bCs/>
          <w:color w:val="000000"/>
          <w:kern w:val="0"/>
          <w:sz w:val="20"/>
          <w:szCs w:val="20"/>
          <w:lang w:eastAsia="zh-CN"/>
        </w:rPr>
        <w:t>电热暖手器</w:t>
      </w:r>
      <w:r>
        <w:rPr>
          <w:rFonts w:hint="eastAsia" w:ascii="宋体" w:hAnsi="宋体" w:eastAsia="宋体" w:cs="宋体"/>
          <w:b/>
          <w:bCs/>
          <w:color w:val="000000"/>
          <w:kern w:val="0"/>
          <w:sz w:val="20"/>
          <w:szCs w:val="20"/>
        </w:rPr>
        <w:t>产品检验项目</w:t>
      </w:r>
    </w:p>
    <w:tbl>
      <w:tblPr>
        <w:tblStyle w:val="5"/>
        <w:tblW w:w="0" w:type="auto"/>
        <w:tblInd w:w="1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0"/>
        <w:gridCol w:w="3056"/>
        <w:gridCol w:w="28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23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序号</w:t>
            </w:r>
          </w:p>
        </w:tc>
        <w:tc>
          <w:tcPr>
            <w:tcW w:w="305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检验项目</w:t>
            </w:r>
          </w:p>
        </w:tc>
        <w:tc>
          <w:tcPr>
            <w:tcW w:w="287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检验方法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trPr>
        <w:tc>
          <w:tcPr>
            <w:tcW w:w="233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Calibri" w:hAnsi="Calibri" w:eastAsia="宋体" w:cs="Times New Roman"/>
                <w:sz w:val="20"/>
                <w:szCs w:val="20"/>
              </w:rPr>
            </w:pPr>
          </w:p>
        </w:tc>
        <w:tc>
          <w:tcPr>
            <w:tcW w:w="305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Calibri" w:hAnsi="Calibri" w:eastAsia="宋体" w:cs="Times New Roman"/>
                <w:sz w:val="20"/>
                <w:szCs w:val="20"/>
              </w:rPr>
            </w:pPr>
          </w:p>
        </w:tc>
        <w:tc>
          <w:tcPr>
            <w:tcW w:w="2879"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Calibri" w:hAnsi="Calibri" w:eastAsia="宋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1</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对触及带电部件的防护</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bCs/>
                <w:spacing w:val="5"/>
                <w:sz w:val="20"/>
                <w:szCs w:val="20"/>
                <w:lang w:val="en-US" w:eastAsia="zh-CN"/>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2</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输入功率和电流</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Calibri" w:hAnsi="Calibri" w:eastAsia="宋体" w:cs="Times New Roman"/>
                <w:sz w:val="20"/>
                <w:szCs w:val="20"/>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3</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发热</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Calibri" w:hAnsi="Calibri" w:eastAsia="宋体" w:cs="Times New Roman"/>
                <w:sz w:val="20"/>
                <w:szCs w:val="20"/>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4</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color w:val="000000"/>
                <w:sz w:val="20"/>
                <w:szCs w:val="20"/>
              </w:rPr>
            </w:pPr>
            <w:r>
              <w:rPr>
                <w:rFonts w:hint="eastAsia"/>
                <w:color w:val="000000"/>
                <w:sz w:val="20"/>
                <w:szCs w:val="20"/>
              </w:rPr>
              <w:t>工作温度下的泄漏电流</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Calibri" w:hAnsi="Calibri" w:eastAsia="宋体" w:cs="Times New Roman"/>
                <w:sz w:val="20"/>
                <w:szCs w:val="20"/>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spacing w:val="5"/>
                <w:sz w:val="20"/>
                <w:szCs w:val="20"/>
                <w:lang w:eastAsia="zh-CN"/>
              </w:rPr>
            </w:pPr>
            <w:r>
              <w:rPr>
                <w:rFonts w:hint="eastAsia" w:ascii="宋体" w:hAnsi="宋体" w:eastAsia="宋体" w:cs="宋体"/>
                <w:bCs/>
                <w:spacing w:val="5"/>
                <w:sz w:val="20"/>
                <w:szCs w:val="20"/>
                <w:lang w:val="en-US" w:eastAsia="zh-CN"/>
              </w:rPr>
              <w:t>5</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机械危险</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6</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机械强度</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7</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结构</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宋体" w:hAnsi="宋体" w:eastAsia="宋体" w:cs="宋体"/>
                <w:bCs/>
                <w:spacing w:val="5"/>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8</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内部布线</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lang w:val="en-US" w:eastAsia="zh-CN"/>
              </w:rPr>
              <w:t>9</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电源连接和外部软线</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rPr>
              <w:t>1</w:t>
            </w:r>
            <w:r>
              <w:rPr>
                <w:rFonts w:hint="eastAsia" w:ascii="宋体" w:hAnsi="宋体" w:eastAsia="宋体" w:cs="宋体"/>
                <w:bCs/>
                <w:spacing w:val="5"/>
                <w:sz w:val="20"/>
                <w:szCs w:val="20"/>
                <w:lang w:val="en-US" w:eastAsia="zh-CN"/>
              </w:rPr>
              <w:t>0</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外部导线用接线端子</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宋体" w:hAnsi="宋体" w:eastAsia="宋体" w:cs="宋体"/>
                <w:bCs/>
                <w:spacing w:val="5"/>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rPr>
              <w:t>1</w:t>
            </w:r>
            <w:r>
              <w:rPr>
                <w:rFonts w:hint="eastAsia" w:ascii="宋体" w:hAnsi="宋体" w:eastAsia="宋体" w:cs="宋体"/>
                <w:bCs/>
                <w:spacing w:val="5"/>
                <w:sz w:val="20"/>
                <w:szCs w:val="20"/>
                <w:lang w:val="en-US" w:eastAsia="zh-CN"/>
              </w:rPr>
              <w:t>1</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螺钉和连接</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33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宋体" w:hAnsi="宋体" w:eastAsia="宋体" w:cs="宋体"/>
                <w:spacing w:val="5"/>
                <w:kern w:val="2"/>
                <w:sz w:val="20"/>
                <w:szCs w:val="20"/>
                <w:lang w:val="en-US" w:eastAsia="zh-CN" w:bidi="ar-SA"/>
              </w:rPr>
            </w:pPr>
            <w:r>
              <w:rPr>
                <w:rFonts w:hint="eastAsia" w:ascii="宋体" w:hAnsi="宋体" w:eastAsia="宋体" w:cs="宋体"/>
                <w:bCs/>
                <w:spacing w:val="5"/>
                <w:sz w:val="20"/>
                <w:szCs w:val="20"/>
              </w:rPr>
              <w:t>1</w:t>
            </w:r>
            <w:r>
              <w:rPr>
                <w:rFonts w:hint="eastAsia" w:ascii="宋体" w:hAnsi="宋体" w:eastAsia="宋体" w:cs="宋体"/>
                <w:bCs/>
                <w:spacing w:val="5"/>
                <w:sz w:val="20"/>
                <w:szCs w:val="20"/>
                <w:lang w:val="en-US" w:eastAsia="zh-CN"/>
              </w:rPr>
              <w:t>2</w:t>
            </w:r>
          </w:p>
        </w:tc>
        <w:tc>
          <w:tcPr>
            <w:tcW w:w="305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宋体" w:hAnsi="宋体" w:eastAsia="宋体" w:cs="宋体"/>
                <w:spacing w:val="5"/>
                <w:sz w:val="20"/>
                <w:szCs w:val="20"/>
              </w:rPr>
            </w:pPr>
            <w:r>
              <w:rPr>
                <w:rFonts w:hint="eastAsia" w:ascii="宋体" w:hAnsi="宋体" w:eastAsia="宋体" w:cs="宋体"/>
                <w:bCs/>
                <w:spacing w:val="5"/>
                <w:sz w:val="20"/>
                <w:szCs w:val="20"/>
              </w:rPr>
              <w:t>电气间隙、爬电距离和固体绝缘</w:t>
            </w:r>
          </w:p>
        </w:tc>
        <w:tc>
          <w:tcPr>
            <w:tcW w:w="287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eastAsia" w:ascii="宋体" w:hAnsi="宋体" w:eastAsia="宋体" w:cs="宋体"/>
                <w:bCs/>
                <w:spacing w:val="5"/>
                <w:sz w:val="20"/>
                <w:szCs w:val="20"/>
              </w:rPr>
            </w:pPr>
            <w:r>
              <w:rPr>
                <w:rFonts w:hint="eastAsia" w:ascii="宋体" w:hAnsi="宋体" w:eastAsia="宋体" w:cs="宋体"/>
                <w:bCs/>
                <w:spacing w:val="5"/>
                <w:sz w:val="20"/>
                <w:szCs w:val="20"/>
              </w:rPr>
              <w:t>GB 4706.1</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default" w:ascii="Calibri" w:hAnsi="Calibri" w:eastAsia="宋体" w:cs="Times New Roman"/>
                <w:kern w:val="2"/>
                <w:sz w:val="20"/>
                <w:szCs w:val="20"/>
                <w:lang w:val="en-US" w:eastAsia="zh-CN" w:bidi="ar-SA"/>
              </w:rPr>
            </w:pPr>
            <w:r>
              <w:rPr>
                <w:rFonts w:hint="eastAsia" w:ascii="宋体" w:hAnsi="宋体" w:eastAsia="宋体" w:cs="宋体"/>
                <w:bCs/>
                <w:spacing w:val="5"/>
                <w:sz w:val="20"/>
                <w:szCs w:val="20"/>
              </w:rPr>
              <w:t>GB 4706.</w:t>
            </w:r>
            <w:r>
              <w:rPr>
                <w:rFonts w:hint="eastAsia" w:ascii="宋体" w:hAnsi="宋体" w:eastAsia="宋体" w:cs="宋体"/>
                <w:bCs/>
                <w:spacing w:val="5"/>
                <w:sz w:val="20"/>
                <w:szCs w:val="20"/>
                <w:lang w:val="en-US" w:eastAsia="zh-CN"/>
              </w:rPr>
              <w:t>99</w:t>
            </w:r>
          </w:p>
        </w:tc>
      </w:tr>
    </w:tbl>
    <w:p>
      <w:pPr>
        <w:widowControl/>
        <w:spacing w:line="360" w:lineRule="auto"/>
        <w:jc w:val="left"/>
        <w:rPr>
          <w:sz w:val="20"/>
          <w:szCs w:val="20"/>
        </w:rPr>
      </w:pPr>
      <w:r>
        <w:rPr>
          <w:rFonts w:hint="eastAsia" w:ascii="宋体" w:hAnsi="宋体" w:eastAsia="宋体" w:cs="宋体"/>
          <w:color w:val="000000"/>
          <w:kern w:val="0"/>
          <w:sz w:val="20"/>
          <w:szCs w:val="20"/>
        </w:rPr>
        <w:t xml:space="preserve">注：上表所列检验项目是有关法律法规、标准等规定的，重点涉及健康、安全、节能、环保以及消费者、有关组织反映有质量问题的重要项目。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执行企业标准、团体标准、地方标准的产品，检验项目参照上述内容执行。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凡是注日期的文件，其随后所有的修改单（不包括勘误的内容）或修订版不适用于本细则。凡是不注日期的文件，其最新版本适用于本细则。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3 判定规则 </w:t>
      </w:r>
    </w:p>
    <w:p>
      <w:pPr>
        <w:keepNext w:val="0"/>
        <w:keepLines w:val="0"/>
        <w:pageBreakBefore w:val="0"/>
        <w:widowControl/>
        <w:kinsoku/>
        <w:wordWrap/>
        <w:overflowPunct/>
        <w:topLinePunct w:val="0"/>
        <w:autoSpaceDE/>
        <w:autoSpaceDN/>
        <w:bidi w:val="0"/>
        <w:adjustRightInd/>
        <w:snapToGrid/>
        <w:spacing w:line="360" w:lineRule="auto"/>
        <w:jc w:val="left"/>
        <w:textAlignment w:val="auto"/>
        <w:rPr>
          <w:sz w:val="20"/>
          <w:szCs w:val="20"/>
        </w:rPr>
      </w:pPr>
      <w:r>
        <w:rPr>
          <w:rFonts w:hint="eastAsia" w:ascii="宋体" w:hAnsi="宋体" w:eastAsia="宋体" w:cs="宋体"/>
          <w:color w:val="000000"/>
          <w:kern w:val="0"/>
          <w:sz w:val="20"/>
          <w:szCs w:val="20"/>
        </w:rPr>
        <w:t xml:space="preserve">3.1 标准依据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eastAsia" w:ascii="宋体" w:hAnsi="宋体" w:eastAsia="宋体" w:cs="宋体"/>
          <w:color w:val="000000"/>
          <w:kern w:val="0"/>
          <w:sz w:val="20"/>
          <w:szCs w:val="20"/>
          <w:lang w:val="en-US" w:eastAsia="zh-CN"/>
        </w:rPr>
      </w:pPr>
      <w:r>
        <w:rPr>
          <w:rFonts w:hint="eastAsia" w:ascii="宋体" w:hAnsi="宋体" w:eastAsia="宋体" w:cs="宋体"/>
          <w:color w:val="000000"/>
          <w:kern w:val="0"/>
          <w:sz w:val="20"/>
          <w:szCs w:val="20"/>
        </w:rPr>
        <w:t xml:space="preserve">GB 4706.1 家用和类似用途电器的安全 第 1 部分：通用要求 </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default" w:ascii="宋体" w:hAnsi="宋体" w:eastAsia="宋体" w:cs="宋体"/>
          <w:color w:val="000000"/>
          <w:kern w:val="0"/>
          <w:sz w:val="20"/>
          <w:szCs w:val="20"/>
          <w:lang w:val="en-US"/>
        </w:rPr>
      </w:pPr>
      <w:r>
        <w:rPr>
          <w:rFonts w:hint="eastAsia" w:ascii="宋体" w:hAnsi="宋体" w:eastAsia="宋体" w:cs="宋体"/>
          <w:color w:val="000000"/>
          <w:kern w:val="0"/>
          <w:sz w:val="20"/>
          <w:szCs w:val="20"/>
        </w:rPr>
        <w:t>GB 4706.</w:t>
      </w:r>
      <w:r>
        <w:rPr>
          <w:rFonts w:hint="eastAsia" w:ascii="宋体" w:hAnsi="宋体" w:eastAsia="宋体" w:cs="宋体"/>
          <w:color w:val="000000"/>
          <w:kern w:val="0"/>
          <w:sz w:val="20"/>
          <w:szCs w:val="20"/>
          <w:lang w:val="en-US" w:eastAsia="zh-CN"/>
        </w:rPr>
        <w:t>99 家用和类似用途电器的安全 储热式电热暖手器的特殊要求</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rFonts w:hint="eastAsia" w:ascii="宋体" w:hAnsi="宋体" w:eastAsia="宋体" w:cs="宋体"/>
          <w:color w:val="000000"/>
          <w:kern w:val="0"/>
          <w:sz w:val="20"/>
          <w:szCs w:val="20"/>
        </w:rPr>
      </w:pPr>
      <w:r>
        <w:rPr>
          <w:rFonts w:hint="eastAsia" w:ascii="宋体" w:hAnsi="宋体" w:eastAsia="宋体" w:cs="宋体"/>
          <w:color w:val="000000"/>
          <w:kern w:val="0"/>
          <w:sz w:val="20"/>
          <w:szCs w:val="20"/>
          <w:lang w:eastAsia="zh-CN"/>
        </w:rPr>
        <w:t>相关法律</w:t>
      </w:r>
      <w:r>
        <w:rPr>
          <w:rFonts w:hint="eastAsia" w:ascii="宋体" w:hAnsi="宋体" w:eastAsia="宋体" w:cs="宋体"/>
          <w:color w:val="000000"/>
          <w:kern w:val="0"/>
          <w:sz w:val="20"/>
          <w:szCs w:val="20"/>
        </w:rPr>
        <w:t>行政法规、部门规章、规范性文件</w:t>
      </w:r>
    </w:p>
    <w:p>
      <w:pPr>
        <w:keepNext w:val="0"/>
        <w:keepLines w:val="0"/>
        <w:pageBreakBefore w:val="0"/>
        <w:widowControl/>
        <w:kinsoku/>
        <w:wordWrap/>
        <w:overflowPunct/>
        <w:topLinePunct w:val="0"/>
        <w:autoSpaceDE/>
        <w:autoSpaceDN/>
        <w:bidi w:val="0"/>
        <w:adjustRightInd/>
        <w:snapToGrid/>
        <w:spacing w:line="360" w:lineRule="auto"/>
        <w:ind w:firstLine="400" w:firstLineChars="200"/>
        <w:jc w:val="left"/>
        <w:textAlignment w:val="auto"/>
        <w:rPr>
          <w:sz w:val="20"/>
          <w:szCs w:val="20"/>
        </w:rPr>
      </w:pPr>
      <w:r>
        <w:rPr>
          <w:rFonts w:hint="eastAsia" w:ascii="宋体" w:hAnsi="宋体" w:eastAsia="宋体" w:cs="宋体"/>
          <w:color w:val="000000"/>
          <w:kern w:val="0"/>
          <w:sz w:val="20"/>
          <w:szCs w:val="20"/>
        </w:rPr>
        <w:t xml:space="preserve">现行有效的企业标准、团体标准、地方标准及产品明示质量要求 </w:t>
      </w:r>
    </w:p>
    <w:p>
      <w:pPr>
        <w:widowControl/>
        <w:spacing w:line="360" w:lineRule="auto"/>
        <w:jc w:val="left"/>
        <w:rPr>
          <w:sz w:val="20"/>
          <w:szCs w:val="20"/>
        </w:rPr>
      </w:pPr>
      <w:r>
        <w:rPr>
          <w:rFonts w:hint="eastAsia" w:ascii="宋体" w:hAnsi="宋体" w:eastAsia="宋体" w:cs="宋体"/>
          <w:color w:val="000000"/>
          <w:kern w:val="0"/>
          <w:sz w:val="20"/>
          <w:szCs w:val="20"/>
        </w:rPr>
        <w:t xml:space="preserve">3.2 判定原则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经检验，检验项目全部合格，判定为被抽查产品所检项目未发现不合格；检验项目中任一项或一项以上不合格，判定为被抽查产品不合格。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若被检产品明示的质量要求高于本细则中检验项目依据的标准要求时，应按被检产品明示的质量要求判定。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若被检产品明示的质量要求低于本细则中检验项目依据的强制性标准要求时，应按照强制性标准要求判定。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若被检产品明示的质量要求低于或包含细则中检验项目依据的推荐性标准要求时，应以被检产品明示的质量要求判定，但应在检验报告备注中进行说明。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若被检产品明示的质量要求缺少本细则中检验项目依据的强制性标准要求时，应按照强制性标准要求判定。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 xml:space="preserve">若被检产品明示的质量要求缺少本细则中检验项目依据的推荐性标准要求时，该项目不参与判定，但应在检验报告备注中进行说明。 </w:t>
      </w:r>
    </w:p>
    <w:p>
      <w:pPr>
        <w:pStyle w:val="2"/>
        <w:keepNext w:val="0"/>
        <w:keepLines w:val="0"/>
        <w:pageBreakBefore w:val="0"/>
        <w:widowControl/>
        <w:kinsoku w:val="0"/>
        <w:wordWrap/>
        <w:overflowPunct/>
        <w:topLinePunct w:val="0"/>
        <w:autoSpaceDE w:val="0"/>
        <w:autoSpaceDN w:val="0"/>
        <w:bidi w:val="0"/>
        <w:adjustRightInd w:val="0"/>
        <w:snapToGrid w:val="0"/>
        <w:spacing w:before="157" w:beforeLines="50" w:line="360" w:lineRule="auto"/>
        <w:ind w:left="0" w:leftChars="0" w:firstLine="0" w:firstLineChars="0"/>
        <w:jc w:val="both"/>
        <w:textAlignment w:val="baseline"/>
        <w:outlineLvl w:val="0"/>
        <w:rPr>
          <w:rFonts w:hint="eastAsia" w:ascii="黑体" w:hAnsi="黑体" w:eastAsia="黑体" w:cs="黑体"/>
          <w:b w:val="0"/>
          <w:bCs w:val="0"/>
          <w:snapToGrid w:val="0"/>
          <w:color w:val="auto"/>
          <w:spacing w:val="-1"/>
          <w:kern w:val="0"/>
          <w:sz w:val="20"/>
          <w:szCs w:val="20"/>
        </w:rPr>
      </w:pPr>
      <w:r>
        <w:rPr>
          <w:rFonts w:hint="eastAsia" w:ascii="黑体" w:hAnsi="黑体" w:eastAsia="黑体" w:cs="黑体"/>
          <w:b w:val="0"/>
          <w:bCs w:val="0"/>
          <w:snapToGrid w:val="0"/>
          <w:color w:val="auto"/>
          <w:spacing w:val="-1"/>
          <w:kern w:val="0"/>
          <w:sz w:val="20"/>
          <w:szCs w:val="20"/>
        </w:rPr>
        <w:t xml:space="preserve">4 异议复检 </w:t>
      </w:r>
    </w:p>
    <w:p>
      <w:pPr>
        <w:widowControl/>
        <w:spacing w:line="360" w:lineRule="auto"/>
        <w:ind w:firstLine="400" w:firstLineChars="200"/>
        <w:jc w:val="left"/>
        <w:rPr>
          <w:sz w:val="20"/>
          <w:szCs w:val="20"/>
        </w:rPr>
      </w:pPr>
      <w:r>
        <w:rPr>
          <w:rFonts w:hint="eastAsia" w:ascii="宋体" w:hAnsi="宋体" w:eastAsia="宋体" w:cs="宋体"/>
          <w:color w:val="000000"/>
          <w:kern w:val="0"/>
          <w:sz w:val="20"/>
          <w:szCs w:val="20"/>
        </w:rPr>
        <w:t>本细则中确定的全部检验项目，采用备用样品进行复检。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docVars>
    <w:docVar w:name="commondata" w:val="eyJoZGlkIjoiZjc3ZjlhMmFhNDM4OWQ1Y2M3OWYxYjE0NWM1MWRkNjgifQ=="/>
  </w:docVars>
  <w:rsids>
    <w:rsidRoot w:val="00A73DC7"/>
    <w:rsid w:val="00240AD3"/>
    <w:rsid w:val="0068431F"/>
    <w:rsid w:val="00A73DC7"/>
    <w:rsid w:val="08812ED8"/>
    <w:rsid w:val="1E9942D3"/>
    <w:rsid w:val="23467142"/>
    <w:rsid w:val="30994CD3"/>
    <w:rsid w:val="374B6C83"/>
    <w:rsid w:val="423E601C"/>
    <w:rsid w:val="5C176162"/>
    <w:rsid w:val="5C783C1A"/>
    <w:rsid w:val="69F34450"/>
    <w:rsid w:val="6BC6193A"/>
    <w:rsid w:val="7CDB7B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0"/>
      <w:szCs w:val="20"/>
      <w:lang w:val="en-US" w:eastAsia="en-US" w:bidi="ar-SA"/>
    </w:rPr>
  </w:style>
  <w:style w:type="paragraph" w:styleId="3">
    <w:name w:val="footer"/>
    <w:basedOn w:val="1"/>
    <w:link w:val="8"/>
    <w:autoRedefine/>
    <w:qFormat/>
    <w:uiPriority w:val="0"/>
    <w:pPr>
      <w:tabs>
        <w:tab w:val="center" w:pos="4153"/>
        <w:tab w:val="right" w:pos="8306"/>
      </w:tabs>
      <w:snapToGrid w:val="0"/>
      <w:jc w:val="left"/>
    </w:pPr>
    <w:rPr>
      <w:sz w:val="18"/>
      <w:szCs w:val="18"/>
    </w:rPr>
  </w:style>
  <w:style w:type="paragraph" w:styleId="4">
    <w:name w:val="header"/>
    <w:basedOn w:val="1"/>
    <w:link w:val="7"/>
    <w:autoRedefine/>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autoRedefine/>
    <w:qFormat/>
    <w:uiPriority w:val="0"/>
    <w:rPr>
      <w:rFonts w:asciiTheme="minorHAnsi" w:hAnsiTheme="minorHAnsi" w:eastAsiaTheme="minorEastAsia" w:cstheme="minorBidi"/>
      <w:kern w:val="2"/>
      <w:sz w:val="18"/>
      <w:szCs w:val="18"/>
    </w:rPr>
  </w:style>
  <w:style w:type="character" w:customStyle="1" w:styleId="8">
    <w:name w:val="页脚 Char"/>
    <w:basedOn w:val="6"/>
    <w:link w:val="3"/>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Pages>
  <Words>206</Words>
  <Characters>1177</Characters>
  <Lines>9</Lines>
  <Paragraphs>2</Paragraphs>
  <TotalTime>7</TotalTime>
  <ScaleCrop>false</ScaleCrop>
  <LinksUpToDate>false</LinksUpToDate>
  <CharactersWithSpaces>1381</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2024-03-13T07:03:00Z</dcterms:created>
  <dc:creator>lenovo</dc:creator>
  <cp:lastModifiedBy>叁柒肆拾玖</cp:lastModifiedBy>
  <dcterms:modified xsi:type="dcterms:W3CDTF">2024-04-03T06:35:46Z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7D09029C4740416BB98A975A3B285467_12</vt:lpwstr>
  </property>
</Properties>
</file>