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463E40">
      <w:pPr>
        <w:keepNext w:val="0"/>
        <w:keepLines w:val="0"/>
        <w:pageBreakBefore w:val="0"/>
        <w:widowControl w:val="0"/>
        <w:tabs>
          <w:tab w:val="center" w:pos="4507"/>
        </w:tabs>
        <w:kinsoku/>
        <w:wordWrap/>
        <w:overflowPunct/>
        <w:topLinePunct w:val="0"/>
        <w:autoSpaceDE/>
        <w:autoSpaceDN/>
        <w:bidi w:val="0"/>
        <w:spacing w:line="578" w:lineRule="exact"/>
        <w:jc w:val="left"/>
        <w:textAlignment w:val="auto"/>
        <w:rPr>
          <w:rFonts w:ascii="宋体" w:hAnsi="宋体"/>
          <w:sz w:val="44"/>
        </w:rPr>
      </w:pPr>
    </w:p>
    <w:p w14:paraId="2FAA90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jc w:val="center"/>
        <w:textAlignment w:val="auto"/>
        <w:rPr>
          <w:rFonts w:hint="eastAsia" w:ascii="宋体" w:hAnsi="宋体" w:eastAsia="方正小标宋简体"/>
          <w:spacing w:val="-20"/>
          <w:sz w:val="44"/>
          <w:szCs w:val="44"/>
        </w:rPr>
      </w:pPr>
      <w:r>
        <w:rPr>
          <w:rFonts w:hint="eastAsia" w:ascii="宋体" w:hAnsi="宋体" w:eastAsia="方正小标宋简体"/>
          <w:spacing w:val="-20"/>
          <w:sz w:val="44"/>
          <w:szCs w:val="44"/>
        </w:rPr>
        <w:t>中共威海市委火炬高技术产业开发区工作委员会</w:t>
      </w:r>
    </w:p>
    <w:p w14:paraId="3D5E71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jc w:val="center"/>
        <w:textAlignment w:val="auto"/>
        <w:rPr>
          <w:rFonts w:hint="eastAsia" w:ascii="宋体" w:hAnsi="宋体" w:eastAsia="方正小标宋简体"/>
          <w:spacing w:val="-20"/>
          <w:sz w:val="44"/>
          <w:szCs w:val="44"/>
        </w:rPr>
      </w:pPr>
      <w:r>
        <w:rPr>
          <w:rFonts w:hint="eastAsia" w:ascii="宋体" w:hAnsi="宋体" w:eastAsia="方正小标宋简体"/>
          <w:spacing w:val="0"/>
          <w:sz w:val="44"/>
          <w:szCs w:val="44"/>
        </w:rPr>
        <w:t>威海火炬高技术产业开发区管理委员会</w:t>
      </w:r>
    </w:p>
    <w:p w14:paraId="2C9579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jc w:val="center"/>
        <w:textAlignment w:val="auto"/>
        <w:rPr>
          <w:rFonts w:hint="eastAsia" w:ascii="宋体" w:hAnsi="宋体" w:eastAsia="方正小标宋简体"/>
          <w:spacing w:val="-20"/>
          <w:sz w:val="44"/>
          <w:szCs w:val="44"/>
        </w:rPr>
      </w:pPr>
      <w:r>
        <w:rPr>
          <w:rFonts w:hint="eastAsia" w:ascii="宋体" w:hAnsi="宋体" w:eastAsia="方正小标宋简体"/>
          <w:spacing w:val="0"/>
          <w:sz w:val="44"/>
          <w:szCs w:val="44"/>
        </w:rPr>
        <w:t>关于</w:t>
      </w:r>
      <w:r>
        <w:rPr>
          <w:rFonts w:hint="eastAsia" w:ascii="宋体" w:hAnsi="宋体" w:eastAsia="方正小标宋简体" w:cs="方正小标宋简体"/>
          <w:w w:val="98"/>
          <w:sz w:val="44"/>
          <w:szCs w:val="44"/>
          <w:lang w:val="en-US" w:eastAsia="zh-CN"/>
        </w:rPr>
        <w:t>2025年法治政府建设情况的报告</w:t>
      </w:r>
    </w:p>
    <w:p w14:paraId="2BBDF9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宋体" w:hAnsi="宋体" w:eastAsia="仿宋_GB2312" w:cs="仿宋_GB2312"/>
          <w:sz w:val="32"/>
          <w:szCs w:val="32"/>
        </w:rPr>
      </w:pPr>
    </w:p>
    <w:p w14:paraId="15F428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2025年，在市委、市政府的坚强领导下，高区党工委、管委坚持以习近平法治思想为指导，全面贯彻落实《法治政府建设实施纲要（2021-2025年）》等文件精神，为高区经济社会高质量发展提供坚实法治保障，各项工作取得显著成效。现将有关情况报告如下。</w:t>
      </w:r>
    </w:p>
    <w:p w14:paraId="3AA3B3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一、2025年推进法治政府建设的主要举措和成效</w:t>
      </w:r>
    </w:p>
    <w:p w14:paraId="7344970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2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（一）依法履行政府职能</w:t>
      </w:r>
    </w:p>
    <w:p w14:paraId="4CC33B4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2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优化政府机构职能。编制镇街履职事项清单，平均含242项履职事项，其中基本履职事项92项、配合履职事项102项、上级部门收回事项48项，形成事权清晰、责能相适、履职顺畅、保障有力的镇（街道）权责体系。提升政务服务效能。推进放管结合、优化服务，共落地实施38个“高效办成一件事”重点事项，设置26个“一件事”窗口；创新推出130项“不打烊”服务清单，服务全区产业发展。持续优化营商环境。在电子信息产业园设立公共法律服务工作站，组建打印机、医药与医疗器械两大产业链法律服务团队，获得“产业链+公共法律服务”省级试点资格；在省内率先构建“4+N”海外知识维权服务工作站，编制《打印机产业链企业法律风险防范指引》《医疗器械产业链企业法律风险防范指引》，帮助42家“出海”企业、11家国外企业实施知识产权海外预警分析，支持光威户外等13家企业制定海外风险应对预案。</w:t>
      </w:r>
    </w:p>
    <w:p w14:paraId="427EF4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2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（二）完善依法行政制度体系</w:t>
      </w:r>
    </w:p>
    <w:p w14:paraId="55C38F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2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加强对行政规范性文件的监督管理。严格落实《威海市行政规范性文件制定和监督管理办法》，2025年制发规范性文件1件，动态清理全区规范性文件11件，其中废止1件，修改2件，到期自动失效4件，继续执行4件，确保文件出台合法合规、政令畅通。</w:t>
      </w:r>
    </w:p>
    <w:p w14:paraId="54E37E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2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（三）加强和改进行政执法工作</w:t>
      </w:r>
    </w:p>
    <w:p w14:paraId="7B1D752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2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扎实开展规范涉企行政执法专项行动及专项整治。共制发制度文件4件，查出行政执法存在问题9项，均已整改完毕；核查涉企执法信访、投诉、12345热线等30条，未发现执法人员存在违法违规以及乱收费、乱罚款、违规异地执法和趋利性执法等情况。严格规范涉企检查。全面落实《威海市严格规范涉企行政检查的若干措施》，科学制定并公示年度涉企检查计划和专项检查计划，严格按照计划开展检查并全部纳入“鲁执法”平台运行；建立“1+N”跨部门联合抽查机制，制定90个领域联合抽查计划，明确200项检查事项，全年开展联合检查474次，有效减少对企业正常经营的干扰，被检查主体满意度达99.5%以上。推进严格规范公正文明执法。2025年共办理新申领行政执法证件34件、听证主持人证件8件、延期执法证件86件，注销执法证件32件，确保执法人员持证上岗、依法依规开展执法活动；组织全区执法人员开展专题讲座、集中培训等各类培训8次，集中闭卷测试3次，常态化开展案卷评查，抽取并评查行政处罚案卷124本，切实提升执法人员的执法能力和案卷制作规范化水平。</w:t>
      </w:r>
    </w:p>
    <w:p w14:paraId="2082CC1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2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（四）完善应急管理制度机制</w:t>
      </w:r>
    </w:p>
    <w:p w14:paraId="449C77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2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健全法规制度体系，夯实安全生产法治基础。修订完善《安全生产行政责任制规定》等制度文件，将行业监管分工由80个细化至155个，明确29项新业态监管责任，推动行业主管部门和监管部门责任落实到位；制定《安全生产隐患闭环查改工作机制汇编》，在18个部门推行34项闭环管理制度，构建“排查—整改—验收—督查”全链条闭环管理体系，实现安全生产监管全覆盖。加强应急法治准备，提升依法应急处置能力；完善应急预案体系，更新区、镇、社区三级自然灾害救助预案。组织开展森林防灭火、防汛抗旱、地震疏散等应急演练376次，参与人数5200余人；充实专业救援队伍7支、企业救援队11支，更新灾害信息员200名，完成培训381人次。</w:t>
      </w:r>
    </w:p>
    <w:p w14:paraId="67BA6CE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2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（五）预防调处化解社会矛盾纠纷</w:t>
      </w:r>
    </w:p>
    <w:p w14:paraId="3A37D1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2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扎实做好信访工作。严格按照“五个法治化”“四个到位”要求，对房地产、“双拖欠”、涉法涉诉等九大领域开展信访突出问题专项整治，化解省、市交办突出问题36件，市级领导包案14件，区级领导包案69件。及时有效化解矛盾纠纷。创新推出“一中心两平台N联动”模式，以综治中心为核心，搭建网格化管理平台和矛盾纠纷调处平台，联动公检法司等部门，形成“问题联治、风险联控、平安联创”工作格局，2025年共受理案件4355起，成功化解4229起，调解成功率97.1%。</w:t>
      </w:r>
    </w:p>
    <w:p w14:paraId="70DB8C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2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（六）强化对行政权力的制约监督</w:t>
      </w:r>
    </w:p>
    <w:p w14:paraId="13CA72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6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规范政府督查工作。建立从立项交办、跟踪督办、协调联动、反馈报告到销号归档的全链条、闭环式管理机制，2025年督办领导交办事项243项，下发督办通知36期，开展专项督查、联合督查、暗访督查30余次，形成《重点督查落实情况报告》22期、《督办专报》12期。全面推进政务公开。扎实做好政务信息公开工作，全年主动公开信息1.6万余条，公开率、关联率和保密审查率均达100%；完成政府信息依申请公开办件72件、上级协查件11件。提升合同管理工作质效。健全合同审查机制，严格合同监管，切实提高合同管理的规范化水平，2025年共审查备案合同31件，有效防范法律风险的产生。</w:t>
      </w:r>
    </w:p>
    <w:p w14:paraId="370222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6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（七）加快建设数字政府</w:t>
      </w:r>
    </w:p>
    <w:p w14:paraId="0986B6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6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深化无证明城市建设。做好电子证照制发及存量历史证照数据电子化工作，全区共制发电子证照数量7522个，其中补录电子证照量1628个；梳理并公布2025年电子证照“用证”事项清单，依托威海市基层数据服务平台和“爱山东”平台，推广落实惠民补贴静默认证。</w:t>
      </w:r>
    </w:p>
    <w:p w14:paraId="2C09E04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6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二、2025年推进法治政府建设存在的不足和原因</w:t>
      </w:r>
    </w:p>
    <w:p w14:paraId="76C9E4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6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一是法治建设与产业发展、基层治理的融合深度不够。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在法治护航特色产业发展、优化营商环境、基层治理等方面的创新举措不多，法治保障作用发挥不够充分。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二是重点领域执法能力存在短板。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部分执法人员法律法规知识更新不够及时，复合型执法人才短缺，运用现代化技术手段进行监管的能力有待提高，应对新型执法场景能力不足。</w:t>
      </w:r>
    </w:p>
    <w:p w14:paraId="5B96186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6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三、2025年党政主要负责人履行推进法治建设第一责任人职责，加强法治政府建设的有关情况</w:t>
      </w:r>
    </w:p>
    <w:p w14:paraId="61094C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6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一是高度重视法治建设，强化责任担当。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常态化开展习近平法治思想学习，强化法治思想宣传。开展深入</w:t>
      </w:r>
      <w:bookmarkStart w:id="0" w:name="_GoBack"/>
      <w:bookmarkEnd w:id="0"/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贯彻中央八项规定精神学习教育，带头落实廉政风险防控体系建设，筑牢纪律规矩意识。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二是完善法治体制机制，推动依法行政。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严把决策议事程序，凡“三重一大”事项均通过区党工委会议集体研究讨论决定，充分发挥法律顾问、公职律师专业优势，做到科学化、民主化、法治化决策。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三是加强法治监督与问责，夯实法治保障。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加强对领导干部法治素养和依法履职的考核评价，开展“清风护航”助力优化营商环境等专项监督，压实管党治党政治责任，开展“一把手”和领导班子“四谈四促”党内谈话32人次。</w:t>
      </w:r>
    </w:p>
    <w:p w14:paraId="25518B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6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四、2026年推进法治政府建设的主要安排</w:t>
      </w:r>
    </w:p>
    <w:p w14:paraId="52ECD0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6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一是加强党对法治政府建设的领导。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坚持将习近平法治思想作为法治政府建设工作的根本遵循，深入落实党政主要负责人履行推进法治建设第一责任人职责要求，充分发挥好“关键少数”作用，强化法治政府建设。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二是全面提升依法行政水平。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进一步明确合法性审查的范围和程序，充分发挥公职律师和法律顾问参与审查重大合同、重大执法行为以及应对重大疑难法律问题中的专业作用，推动各项工作更加规范化、制度化和法治化。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三是深化基层依法治理格局。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加大对基层法治工作人员培训力度，提升司法所标准化规范化水平和基层法治服务能力。完善“网格+法治”工作模式，将法治元素融入基层治理各环节，以法治赋能基层治理现代化。</w:t>
      </w:r>
    </w:p>
    <w:p w14:paraId="771797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6" w:lineRule="exac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 xml:space="preserve">  </w:t>
      </w:r>
    </w:p>
    <w:p w14:paraId="7C75A4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6" w:lineRule="exact"/>
        <w:textAlignment w:val="auto"/>
        <w:rPr>
          <w:rFonts w:ascii="宋体" w:hAnsi="宋体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2098" w:right="1474" w:bottom="1985" w:left="1588" w:header="851" w:footer="1134" w:gutter="0"/>
      <w:cols w:space="425" w:num="1"/>
      <w:docGrid w:type="lines" w:linePitch="600" w:charSpace="229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6169499"/>
      <w:docPartObj>
        <w:docPartGallery w:val="autotext"/>
      </w:docPartObj>
    </w:sdtPr>
    <w:sdtContent>
      <w:p w14:paraId="00A8F5FE">
        <w:pPr>
          <w:pStyle w:val="8"/>
          <w:wordWrap w:val="0"/>
          <w:jc w:val="right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  </w:t>
        </w:r>
      </w:p>
    </w:sdtContent>
  </w:sdt>
  <w:p w14:paraId="2E510463">
    <w:pPr>
      <w:pStyle w:val="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6991637"/>
      <w:docPartObj>
        <w:docPartGallery w:val="autotext"/>
      </w:docPartObj>
    </w:sdtPr>
    <w:sdtContent>
      <w:p w14:paraId="3BD98DB0">
        <w:pPr>
          <w:pStyle w:val="8"/>
          <w:ind w:firstLine="270" w:firstLineChars="150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  <w:p w14:paraId="09BA669C"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BD3230"/>
    <w:multiLevelType w:val="multilevel"/>
    <w:tmpl w:val="23BD3230"/>
    <w:lvl w:ilvl="0" w:tentative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1418" w:hanging="567"/>
      </w:pPr>
      <w:rPr>
        <w:rFonts w:hint="eastAsia"/>
        <w:lang w:val="en-US"/>
      </w:rPr>
    </w:lvl>
    <w:lvl w:ilvl="3" w:tentative="0">
      <w:start w:val="1"/>
      <w:numFmt w:val="decimal"/>
      <w:lvlText w:val="%1.%2.%3.%4"/>
      <w:lvlJc w:val="left"/>
      <w:pPr>
        <w:ind w:left="850" w:hanging="708"/>
      </w:pPr>
      <w:rPr>
        <w:rFonts w:hint="eastAsia"/>
      </w:rPr>
    </w:lvl>
    <w:lvl w:ilvl="4" w:tentative="0">
      <w:start w:val="1"/>
      <w:numFmt w:val="decimal"/>
      <w:pStyle w:val="5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1134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evenAndOddHeaders w:val="1"/>
  <w:drawingGridHorizontalSpacing w:val="161"/>
  <w:drawingGridVerticalSpacing w:val="30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k3ZDlhMmExZDAyM2ExMGMzZmU1NzhkZGQyODgzY2YifQ=="/>
  </w:docVars>
  <w:rsids>
    <w:rsidRoot w:val="003D5E59"/>
    <w:rsid w:val="0002432B"/>
    <w:rsid w:val="000962AA"/>
    <w:rsid w:val="0010324F"/>
    <w:rsid w:val="00150CD8"/>
    <w:rsid w:val="00155185"/>
    <w:rsid w:val="00187DF1"/>
    <w:rsid w:val="001C657C"/>
    <w:rsid w:val="002265A0"/>
    <w:rsid w:val="002A7E8C"/>
    <w:rsid w:val="002F08F4"/>
    <w:rsid w:val="0034435B"/>
    <w:rsid w:val="00392D81"/>
    <w:rsid w:val="00396017"/>
    <w:rsid w:val="003D5E59"/>
    <w:rsid w:val="003F1DA6"/>
    <w:rsid w:val="00400244"/>
    <w:rsid w:val="00434512"/>
    <w:rsid w:val="004B634C"/>
    <w:rsid w:val="00517BA5"/>
    <w:rsid w:val="00523A69"/>
    <w:rsid w:val="00542579"/>
    <w:rsid w:val="00572506"/>
    <w:rsid w:val="0060283F"/>
    <w:rsid w:val="00635F64"/>
    <w:rsid w:val="006379EE"/>
    <w:rsid w:val="00643A1C"/>
    <w:rsid w:val="00647EF5"/>
    <w:rsid w:val="006F7DA3"/>
    <w:rsid w:val="0072690A"/>
    <w:rsid w:val="00740A24"/>
    <w:rsid w:val="00752003"/>
    <w:rsid w:val="007815FB"/>
    <w:rsid w:val="007E0E27"/>
    <w:rsid w:val="007E5DCB"/>
    <w:rsid w:val="007F6203"/>
    <w:rsid w:val="00805572"/>
    <w:rsid w:val="00831CB6"/>
    <w:rsid w:val="00842A58"/>
    <w:rsid w:val="008559E8"/>
    <w:rsid w:val="00874984"/>
    <w:rsid w:val="008E4BB9"/>
    <w:rsid w:val="009054AB"/>
    <w:rsid w:val="00931A65"/>
    <w:rsid w:val="00937A78"/>
    <w:rsid w:val="009967D8"/>
    <w:rsid w:val="009D2DFA"/>
    <w:rsid w:val="009D3432"/>
    <w:rsid w:val="00A046B6"/>
    <w:rsid w:val="00A44796"/>
    <w:rsid w:val="00B71D25"/>
    <w:rsid w:val="00B85C8E"/>
    <w:rsid w:val="00CF3824"/>
    <w:rsid w:val="00D2772A"/>
    <w:rsid w:val="00D5487C"/>
    <w:rsid w:val="00D60857"/>
    <w:rsid w:val="00DA7A82"/>
    <w:rsid w:val="00DF08DA"/>
    <w:rsid w:val="00E4589A"/>
    <w:rsid w:val="00E54C25"/>
    <w:rsid w:val="00E62203"/>
    <w:rsid w:val="05CF1D0E"/>
    <w:rsid w:val="0CF86357"/>
    <w:rsid w:val="1846532E"/>
    <w:rsid w:val="1CDDAD95"/>
    <w:rsid w:val="1DE7C682"/>
    <w:rsid w:val="1FFE2E97"/>
    <w:rsid w:val="236E6BF8"/>
    <w:rsid w:val="26FE2FD9"/>
    <w:rsid w:val="2B6410D6"/>
    <w:rsid w:val="2BFB678A"/>
    <w:rsid w:val="32FF7264"/>
    <w:rsid w:val="36EB4515"/>
    <w:rsid w:val="37D7BF65"/>
    <w:rsid w:val="3CAB7636"/>
    <w:rsid w:val="3CBCD5B2"/>
    <w:rsid w:val="43595D5F"/>
    <w:rsid w:val="471C22B0"/>
    <w:rsid w:val="4EE863CD"/>
    <w:rsid w:val="575F9640"/>
    <w:rsid w:val="5777B74A"/>
    <w:rsid w:val="5F6B5392"/>
    <w:rsid w:val="67CE5E34"/>
    <w:rsid w:val="6A915B58"/>
    <w:rsid w:val="6B42680B"/>
    <w:rsid w:val="6E6FBAC3"/>
    <w:rsid w:val="6EED7B42"/>
    <w:rsid w:val="73886A56"/>
    <w:rsid w:val="75FFE16A"/>
    <w:rsid w:val="77FDB471"/>
    <w:rsid w:val="78297312"/>
    <w:rsid w:val="79F7B420"/>
    <w:rsid w:val="7BD972FC"/>
    <w:rsid w:val="7C3F46D0"/>
    <w:rsid w:val="7CD2BC61"/>
    <w:rsid w:val="7CDFE538"/>
    <w:rsid w:val="7D4F7ACD"/>
    <w:rsid w:val="7EEE660F"/>
    <w:rsid w:val="7F3B432E"/>
    <w:rsid w:val="7F784270"/>
    <w:rsid w:val="7F7A8F74"/>
    <w:rsid w:val="7F9BC683"/>
    <w:rsid w:val="7FC72750"/>
    <w:rsid w:val="7FFEB3DF"/>
    <w:rsid w:val="9E4BD1DE"/>
    <w:rsid w:val="B7B17FC5"/>
    <w:rsid w:val="BBADF06D"/>
    <w:rsid w:val="BF7771C6"/>
    <w:rsid w:val="C767A9EA"/>
    <w:rsid w:val="CE891B56"/>
    <w:rsid w:val="D3E7ECB5"/>
    <w:rsid w:val="DCD7B6DF"/>
    <w:rsid w:val="DFCFF595"/>
    <w:rsid w:val="E8FF8150"/>
    <w:rsid w:val="EB77D525"/>
    <w:rsid w:val="ED73ED29"/>
    <w:rsid w:val="EEEE4AFB"/>
    <w:rsid w:val="F5B7E8E5"/>
    <w:rsid w:val="F6FE4870"/>
    <w:rsid w:val="F7D4C9C2"/>
    <w:rsid w:val="FBF55AF9"/>
    <w:rsid w:val="FC9B0052"/>
    <w:rsid w:val="FCEFCCD0"/>
    <w:rsid w:val="FE738623"/>
    <w:rsid w:val="FEFB48A1"/>
    <w:rsid w:val="FF1FE007"/>
    <w:rsid w:val="FFFF2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9" w:semiHidden="0" w:name="heading 3"/>
    <w:lsdException w:qFormat="1" w:uiPriority="9" w:name="heading 4"/>
    <w:lsdException w:qFormat="1" w:unhideWhenUsed="0" w:uiPriority="9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9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0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qFormat/>
    <w:uiPriority w:val="9"/>
    <w:pPr>
      <w:widowControl/>
      <w:spacing w:before="200" w:line="276" w:lineRule="auto"/>
      <w:jc w:val="left"/>
      <w:outlineLvl w:val="1"/>
    </w:pPr>
    <w:rPr>
      <w:rFonts w:ascii="Cambria" w:hAnsi="Cambria"/>
      <w:b/>
      <w:bCs/>
      <w:kern w:val="0"/>
      <w:sz w:val="26"/>
      <w:szCs w:val="26"/>
    </w:rPr>
  </w:style>
  <w:style w:type="paragraph" w:styleId="4">
    <w:name w:val="heading 3"/>
    <w:basedOn w:val="1"/>
    <w:next w:val="1"/>
    <w:qFormat/>
    <w:uiPriority w:val="9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5"/>
    <w:basedOn w:val="1"/>
    <w:next w:val="1"/>
    <w:qFormat/>
    <w:uiPriority w:val="9"/>
    <w:pPr>
      <w:keepNext/>
      <w:keepLines/>
      <w:numPr>
        <w:ilvl w:val="4"/>
        <w:numId w:val="1"/>
      </w:numPr>
      <w:ind w:left="851" w:hanging="851"/>
      <w:outlineLvl w:val="4"/>
    </w:pPr>
    <w:rPr>
      <w:b/>
      <w:bCs/>
      <w:szCs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99"/>
    <w:pPr>
      <w:snapToGrid w:val="0"/>
      <w:spacing w:line="640" w:lineRule="exact"/>
      <w:ind w:firstLine="705"/>
    </w:pPr>
    <w:rPr>
      <w:color w:val="000000"/>
      <w:sz w:val="36"/>
      <w:szCs w:val="36"/>
    </w:rPr>
  </w:style>
  <w:style w:type="paragraph" w:styleId="6">
    <w:name w:val="Body Text"/>
    <w:basedOn w:val="1"/>
    <w:qFormat/>
    <w:uiPriority w:val="0"/>
    <w:pPr>
      <w:spacing w:afterLines="0" w:afterAutospacing="0"/>
    </w:pPr>
  </w:style>
  <w:style w:type="paragraph" w:styleId="7">
    <w:name w:val="Body Text Indent"/>
    <w:basedOn w:val="1"/>
    <w:qFormat/>
    <w:uiPriority w:val="0"/>
    <w:pPr>
      <w:spacing w:after="120"/>
      <w:ind w:left="420" w:leftChars="200"/>
    </w:pPr>
  </w:style>
  <w:style w:type="paragraph" w:styleId="8">
    <w:name w:val="footer"/>
    <w:basedOn w:val="1"/>
    <w:link w:val="1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</w:rPr>
  </w:style>
  <w:style w:type="paragraph" w:styleId="11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Title"/>
    <w:basedOn w:val="1"/>
    <w:qFormat/>
    <w:uiPriority w:val="10"/>
    <w:pPr>
      <w:jc w:val="center"/>
      <w:outlineLvl w:val="0"/>
    </w:pPr>
    <w:rPr>
      <w:rFonts w:ascii="Arial" w:hAnsi="Arial"/>
      <w:b/>
      <w:sz w:val="32"/>
    </w:rPr>
  </w:style>
  <w:style w:type="paragraph" w:styleId="13">
    <w:name w:val="Body Text First Indent 2"/>
    <w:basedOn w:val="7"/>
    <w:qFormat/>
    <w:uiPriority w:val="0"/>
    <w:pPr>
      <w:ind w:firstLine="420" w:firstLineChars="200"/>
    </w:pPr>
  </w:style>
  <w:style w:type="character" w:customStyle="1" w:styleId="16">
    <w:name w:val="页脚 Char"/>
    <w:basedOn w:val="15"/>
    <w:link w:val="8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7">
    <w:name w:val="页眉 Char"/>
    <w:basedOn w:val="15"/>
    <w:link w:val="9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8">
    <w:name w:val="NormalCharacter"/>
    <w:qFormat/>
    <w:uiPriority w:val="0"/>
    <w:rPr>
      <w:rFonts w:ascii="Times New Roman" w:hAnsi="Times New Roman" w:eastAsia="仿宋_GB2312" w:cs="Times New Roman"/>
      <w:color w:val="auto"/>
      <w:kern w:val="2"/>
      <w:sz w:val="32"/>
      <w:szCs w:val="32"/>
      <w:lang w:val="en-US" w:eastAsia="zh-CN" w:bidi="ar-SA"/>
    </w:rPr>
  </w:style>
  <w:style w:type="paragraph" w:customStyle="1" w:styleId="19">
    <w:name w:val="样式1"/>
    <w:basedOn w:val="1"/>
    <w:qFormat/>
    <w:uiPriority w:val="0"/>
    <w:pPr>
      <w:spacing w:after="150" w:line="580" w:lineRule="exact"/>
      <w:ind w:firstLine="200" w:firstLineChars="200"/>
      <w:jc w:val="left"/>
    </w:pPr>
    <w:rPr>
      <w:rFonts w:ascii="仿宋_GB2312" w:hAnsi="仿宋" w:eastAsia="仿宋_GB2312" w:cs="仿宋"/>
      <w:sz w:val="32"/>
      <w:szCs w:val="32"/>
    </w:rPr>
  </w:style>
  <w:style w:type="paragraph" w:customStyle="1" w:styleId="20">
    <w:name w:val="msolistparagraph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 w:firstLine="420" w:firstLineChars="200"/>
      <w:jc w:val="both"/>
    </w:pPr>
    <w:rPr>
      <w:rFonts w:hint="default" w:ascii="Calibri" w:hAnsi="Calibri" w:eastAsia="宋体" w:cs="Times New Roman"/>
      <w:kern w:val="2"/>
      <w:sz w:val="21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6</Pages>
  <Words>2830</Words>
  <Characters>2961</Characters>
  <Lines>1</Lines>
  <Paragraphs>1</Paragraphs>
  <TotalTime>42</TotalTime>
  <ScaleCrop>false</ScaleCrop>
  <LinksUpToDate>false</LinksUpToDate>
  <CharactersWithSpaces>2963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2019-02-26T20:00:00Z</dcterms:created>
  <dc:creator>CN=黄伟/O=wh.torch</dc:creator>
  <cp:lastModifiedBy>Administrator</cp:lastModifiedBy>
  <cp:lastPrinted>2026-01-08T15:14:00Z</cp:lastPrinted>
  <dcterms:modified xsi:type="dcterms:W3CDTF">2026-01-21T08:03:32Z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CB097B578BE94711E7625F691C9252B9_43</vt:lpwstr>
  </property>
  <property fmtid="{D5CDD505-2E9C-101B-9397-08002B2CF9AE}" pid="4" name="KSOTemplateDocerSaveRecord">
    <vt:lpwstr>eyJoZGlkIjoiYmVlOGVkMzlhNmVjZGRkNzZkNzM0NmVmYWUzYzJkMTMiLCJ1c2VySWQiOiI0NjE4OTkwMjQifQ==</vt:lpwstr>
  </property>
</Properties>
</file>