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32E77F">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威海火炬高技术产业开发区管委会</w:t>
      </w:r>
    </w:p>
    <w:p w14:paraId="68E4740B">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2023年政府信息公开工作年度报告</w:t>
      </w:r>
    </w:p>
    <w:p w14:paraId="4DE7E61E">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default" w:ascii="Times New Roman" w:hAnsi="Times New Roman" w:eastAsia="仿宋_GB2312" w:cs="Times New Roman"/>
          <w:color w:val="000000"/>
          <w:sz w:val="32"/>
          <w:szCs w:val="32"/>
        </w:rPr>
      </w:pPr>
    </w:p>
    <w:p w14:paraId="4E300EB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年威海火炬高技术产业开发区管委会</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以下简称“高区管委会”</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政府信息公开工作实际，编制发布本报告。</w:t>
      </w:r>
    </w:p>
    <w:p w14:paraId="2244AD6F">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高</w:t>
      </w:r>
      <w:r>
        <w:rPr>
          <w:rFonts w:hint="default" w:ascii="Times New Roman" w:hAnsi="Times New Roman" w:eastAsia="仿宋_GB2312" w:cs="Times New Roman"/>
          <w:color w:val="auto"/>
          <w:sz w:val="32"/>
          <w:szCs w:val="32"/>
        </w:rPr>
        <w:t>区管委会</w:t>
      </w:r>
      <w:r>
        <w:rPr>
          <w:rFonts w:hint="eastAsia" w:ascii="Times New Roman" w:hAnsi="Times New Roman" w:eastAsia="仿宋_GB2312" w:cs="Times New Roman"/>
          <w:color w:val="auto"/>
          <w:sz w:val="32"/>
          <w:szCs w:val="32"/>
          <w:lang w:val="en-US" w:eastAsia="zh-CN"/>
        </w:rPr>
        <w:t>门户</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none"/>
          <w:lang w:val="en-US" w:eastAsia="zh-CN"/>
        </w:rPr>
        <w:t>网址：http://www.whctp.gov.cn</w:t>
      </w:r>
      <w:r>
        <w:rPr>
          <w:rFonts w:hint="default" w:ascii="Times New Roman" w:hAnsi="Times New Roman" w:eastAsia="仿宋_GB2312" w:cs="Times New Roman"/>
          <w:color w:val="auto"/>
          <w:sz w:val="32"/>
          <w:szCs w:val="32"/>
        </w:rPr>
        <w:t>）查阅或下载。公众如需进一步咨询了解相关信息，请与威海火炬高技术产业开发区党政办公室联系（地址：威海市文化西路288号，电子邮箱：whgqzwgk@wh.shandong.cn，邮政编码：264209，办公电话：0631—3919181）</w:t>
      </w:r>
      <w:r>
        <w:rPr>
          <w:rFonts w:hint="eastAsia" w:ascii="Times New Roman" w:hAnsi="Times New Roman" w:eastAsia="仿宋_GB2312" w:cs="Times New Roman"/>
          <w:color w:val="auto"/>
          <w:sz w:val="32"/>
          <w:szCs w:val="32"/>
          <w:lang w:eastAsia="zh-CN"/>
        </w:rPr>
        <w:t>。</w:t>
      </w:r>
    </w:p>
    <w:p w14:paraId="7EB64E28">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14:paraId="73446B71">
      <w:pPr>
        <w:pStyle w:val="6"/>
        <w:keepNext w:val="0"/>
        <w:keepLines w:val="0"/>
        <w:pageBreakBefore w:val="0"/>
        <w:kinsoku/>
        <w:wordWrap/>
        <w:overflowPunct/>
        <w:topLinePunct w:val="0"/>
        <w:bidi w:val="0"/>
        <w:snapToGrid/>
        <w:spacing w:line="582" w:lineRule="exact"/>
        <w:ind w:firstLine="64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2023年，高区管委会按照国家和省、市关于政务公开工作决策部署，围绕市委、市政府中心工作，进一步深化政务公开工作，更好发挥以公开促落实、强监管功能，不断提高政府工作透明度，持续提升行政效能，公开质量和实效取得明显提升。</w:t>
      </w:r>
    </w:p>
    <w:p w14:paraId="2D7C20B4">
      <w:pPr>
        <w:keepNext w:val="0"/>
        <w:keepLines w:val="0"/>
        <w:pageBreakBefore w:val="0"/>
        <w:numPr>
          <w:ilvl w:val="0"/>
          <w:numId w:val="0"/>
        </w:numPr>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楷体_GB2312" w:hAnsi="楷体_GB2312" w:eastAsia="楷体_GB2312" w:cs="楷体_GB2312"/>
          <w:b w:val="0"/>
          <w:bCs/>
          <w:color w:val="auto"/>
          <w:sz w:val="32"/>
          <w:szCs w:val="32"/>
          <w:lang w:val="en-US" w:eastAsia="zh-CN"/>
        </w:rPr>
        <w:t>1.主动公开方面。</w:t>
      </w:r>
      <w:r>
        <w:rPr>
          <w:rFonts w:hint="default" w:ascii="Times New Roman" w:hAnsi="Times New Roman" w:eastAsia="楷体_GB2312" w:cs="Times New Roman"/>
          <w:sz w:val="32"/>
          <w:szCs w:val="32"/>
        </w:rPr>
        <w:t>一是做好</w:t>
      </w:r>
      <w:r>
        <w:rPr>
          <w:rFonts w:hint="eastAsia" w:ascii="Times New Roman" w:hAnsi="Times New Roman" w:eastAsia="楷体_GB2312" w:cs="Times New Roman"/>
          <w:sz w:val="32"/>
          <w:szCs w:val="32"/>
          <w:lang w:val="en-US" w:eastAsia="zh-CN"/>
        </w:rPr>
        <w:t>政策</w:t>
      </w:r>
      <w:r>
        <w:rPr>
          <w:rFonts w:hint="default" w:ascii="Times New Roman" w:hAnsi="Times New Roman" w:eastAsia="楷体_GB2312" w:cs="Times New Roman"/>
          <w:sz w:val="32"/>
          <w:szCs w:val="32"/>
          <w:lang w:val="en-US" w:eastAsia="zh-CN"/>
        </w:rPr>
        <w:t>信息</w:t>
      </w:r>
      <w:r>
        <w:rPr>
          <w:rFonts w:hint="default" w:ascii="Times New Roman" w:hAnsi="Times New Roman" w:eastAsia="楷体_GB2312" w:cs="Times New Roman"/>
          <w:sz w:val="32"/>
          <w:szCs w:val="32"/>
        </w:rPr>
        <w:t>公开。</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全区共</w:t>
      </w:r>
      <w:r>
        <w:rPr>
          <w:rFonts w:hint="default" w:ascii="Times New Roman" w:hAnsi="Times New Roman" w:eastAsia="仿宋_GB2312" w:cs="Times New Roman"/>
          <w:sz w:val="32"/>
          <w:szCs w:val="32"/>
          <w:lang w:val="en-US" w:eastAsia="zh-CN"/>
        </w:rPr>
        <w:t>公开</w:t>
      </w:r>
      <w:r>
        <w:rPr>
          <w:rFonts w:hint="default" w:ascii="Times New Roman" w:hAnsi="Times New Roman" w:eastAsia="仿宋_GB2312" w:cs="Times New Roman"/>
          <w:sz w:val="32"/>
          <w:szCs w:val="32"/>
        </w:rPr>
        <w:t>信息</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65</w:t>
      </w:r>
      <w:r>
        <w:rPr>
          <w:rFonts w:hint="default" w:ascii="Times New Roman" w:hAnsi="Times New Roman" w:eastAsia="仿宋_GB2312" w:cs="Times New Roman"/>
          <w:sz w:val="32"/>
          <w:szCs w:val="32"/>
        </w:rPr>
        <w:t>00余条，其中</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门户网站信息</w:t>
      </w:r>
      <w:r>
        <w:rPr>
          <w:rFonts w:hint="default" w:ascii="Times New Roman" w:hAnsi="Times New Roman" w:eastAsia="仿宋_GB2312" w:cs="Times New Roman"/>
          <w:sz w:val="32"/>
          <w:szCs w:val="32"/>
          <w:lang w:val="en-US" w:eastAsia="zh-CN"/>
        </w:rPr>
        <w:t>4200</w:t>
      </w:r>
      <w:r>
        <w:rPr>
          <w:rFonts w:hint="default" w:ascii="Times New Roman" w:hAnsi="Times New Roman" w:eastAsia="仿宋_GB2312" w:cs="Times New Roman"/>
          <w:sz w:val="32"/>
          <w:szCs w:val="32"/>
        </w:rPr>
        <w:t>余条，微信公众号信息</w:t>
      </w:r>
      <w:r>
        <w:rPr>
          <w:rFonts w:hint="default" w:ascii="Times New Roman" w:hAnsi="Times New Roman" w:eastAsia="仿宋_GB2312" w:cs="Times New Roman"/>
          <w:sz w:val="32"/>
          <w:szCs w:val="32"/>
          <w:lang w:val="en-US" w:eastAsia="zh-CN"/>
        </w:rPr>
        <w:t>96</w:t>
      </w:r>
      <w:r>
        <w:rPr>
          <w:rFonts w:hint="default" w:ascii="Times New Roman" w:hAnsi="Times New Roman" w:eastAsia="仿宋_GB2312" w:cs="Times New Roman"/>
          <w:sz w:val="32"/>
          <w:szCs w:val="32"/>
        </w:rPr>
        <w:t>00余条。主动公开</w:t>
      </w:r>
      <w:r>
        <w:rPr>
          <w:rFonts w:hint="default" w:ascii="Times New Roman" w:hAnsi="Times New Roman" w:eastAsia="仿宋_GB2312" w:cs="Times New Roman"/>
          <w:sz w:val="32"/>
          <w:szCs w:val="32"/>
          <w:lang w:val="en-US" w:eastAsia="zh-CN"/>
        </w:rPr>
        <w:t>管委及党政办</w:t>
      </w:r>
      <w:r>
        <w:rPr>
          <w:rFonts w:hint="default" w:ascii="Times New Roman" w:hAnsi="Times New Roman" w:eastAsia="仿宋_GB2312" w:cs="Times New Roman"/>
          <w:sz w:val="32"/>
          <w:szCs w:val="32"/>
        </w:rPr>
        <w:t>文件</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件，公开率、关联率和保密审查率均达100%，有效保障了群众知情权</w:t>
      </w:r>
      <w:r>
        <w:rPr>
          <w:rFonts w:hint="eastAsia" w:ascii="Times New Roman" w:hAnsi="Times New Roman" w:eastAsia="仿宋_GB2312" w:cs="Times New Roman"/>
          <w:sz w:val="32"/>
          <w:szCs w:val="32"/>
          <w:lang w:eastAsia="zh-CN"/>
        </w:rPr>
        <w:t>。</w:t>
      </w:r>
      <w:r>
        <w:rPr>
          <w:rFonts w:hint="default" w:ascii="Times New Roman" w:hAnsi="Times New Roman" w:eastAsia="楷体_GB2312" w:cs="Times New Roman"/>
          <w:sz w:val="32"/>
          <w:szCs w:val="32"/>
        </w:rPr>
        <w:t>二是提高</w:t>
      </w:r>
      <w:r>
        <w:rPr>
          <w:rFonts w:hint="default" w:ascii="Times New Roman" w:hAnsi="Times New Roman" w:eastAsia="楷体_GB2312" w:cs="Times New Roman"/>
          <w:sz w:val="32"/>
          <w:szCs w:val="32"/>
          <w:lang w:val="en-US" w:eastAsia="zh-CN"/>
        </w:rPr>
        <w:t>文件</w:t>
      </w:r>
      <w:r>
        <w:rPr>
          <w:rFonts w:hint="default" w:ascii="Times New Roman" w:hAnsi="Times New Roman" w:eastAsia="楷体_GB2312" w:cs="Times New Roman"/>
          <w:sz w:val="32"/>
          <w:szCs w:val="32"/>
        </w:rPr>
        <w:t>解读质量。</w:t>
      </w:r>
      <w:r>
        <w:rPr>
          <w:rFonts w:hint="eastAsia" w:ascii="Times New Roman" w:hAnsi="Times New Roman" w:eastAsia="仿宋_GB2312" w:cs="Times New Roman"/>
          <w:sz w:val="32"/>
          <w:szCs w:val="32"/>
          <w:lang w:val="en-US" w:eastAsia="zh-CN"/>
        </w:rPr>
        <w:t>2023</w:t>
      </w:r>
      <w:r>
        <w:rPr>
          <w:rFonts w:hint="default" w:ascii="Times New Roman" w:hAnsi="Times New Roman" w:eastAsia="仿宋_GB2312" w:cs="Times New Roman"/>
          <w:sz w:val="32"/>
          <w:szCs w:val="32"/>
          <w:lang w:val="en-US" w:eastAsia="zh-CN"/>
        </w:rPr>
        <w:t>年已发布政策文件8个，采用</w:t>
      </w:r>
      <w:r>
        <w:rPr>
          <w:rFonts w:hint="default" w:ascii="Times New Roman" w:hAnsi="Times New Roman" w:eastAsia="仿宋_GB2312" w:cs="Times New Roman"/>
          <w:sz w:val="32"/>
          <w:szCs w:val="32"/>
        </w:rPr>
        <w:t>在线访谈、</w:t>
      </w:r>
      <w:r>
        <w:rPr>
          <w:rFonts w:hint="default" w:ascii="Times New Roman" w:hAnsi="Times New Roman" w:eastAsia="仿宋_GB2312" w:cs="Times New Roman"/>
          <w:sz w:val="32"/>
          <w:szCs w:val="32"/>
          <w:lang w:val="en-US" w:eastAsia="zh-CN"/>
        </w:rPr>
        <w:t>图文解读、主要负责人解读</w:t>
      </w:r>
      <w:r>
        <w:rPr>
          <w:rFonts w:hint="default" w:ascii="Times New Roman" w:hAnsi="Times New Roman" w:eastAsia="仿宋_GB2312" w:cs="Times New Roman"/>
          <w:sz w:val="32"/>
          <w:szCs w:val="32"/>
        </w:rPr>
        <w:t>等不断丰富解读</w:t>
      </w:r>
      <w:r>
        <w:rPr>
          <w:rFonts w:hint="default" w:ascii="Times New Roman" w:hAnsi="Times New Roman" w:eastAsia="仿宋_GB2312" w:cs="Times New Roman"/>
          <w:sz w:val="32"/>
          <w:szCs w:val="32"/>
          <w:lang w:val="en-US" w:eastAsia="zh-CN"/>
        </w:rPr>
        <w:t>形式</w:t>
      </w:r>
      <w:r>
        <w:rPr>
          <w:rFonts w:hint="default" w:ascii="Times New Roman" w:hAnsi="Times New Roman" w:eastAsia="仿宋_GB2312" w:cs="Times New Roman"/>
          <w:sz w:val="32"/>
          <w:szCs w:val="32"/>
        </w:rPr>
        <w:t>，凡主动公开的政策性文件均配发解读文件，</w:t>
      </w:r>
      <w:r>
        <w:rPr>
          <w:rFonts w:hint="default" w:ascii="Times New Roman" w:hAnsi="Times New Roman" w:eastAsia="仿宋_GB2312" w:cs="Times New Roman"/>
          <w:sz w:val="32"/>
          <w:szCs w:val="32"/>
          <w:lang w:val="en-US" w:eastAsia="zh-CN"/>
        </w:rPr>
        <w:t>解读率达到100%</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三是</w:t>
      </w:r>
      <w:r>
        <w:rPr>
          <w:rFonts w:hint="default" w:ascii="Times New Roman" w:hAnsi="Times New Roman" w:eastAsia="楷体_GB2312" w:cs="Times New Roman"/>
          <w:sz w:val="32"/>
          <w:szCs w:val="32"/>
          <w:lang w:val="en-US" w:eastAsia="zh-CN"/>
        </w:rPr>
        <w:t>做好</w:t>
      </w:r>
      <w:r>
        <w:rPr>
          <w:rFonts w:hint="eastAsia" w:ascii="Times New Roman" w:hAnsi="Times New Roman" w:eastAsia="楷体_GB2312" w:cs="Times New Roman"/>
          <w:sz w:val="32"/>
          <w:szCs w:val="32"/>
          <w:lang w:val="en-US" w:eastAsia="zh-CN"/>
        </w:rPr>
        <w:t>重点领域信息</w:t>
      </w:r>
      <w:r>
        <w:rPr>
          <w:rFonts w:hint="default" w:ascii="Times New Roman" w:hAnsi="Times New Roman" w:eastAsia="楷体_GB2312" w:cs="Times New Roman"/>
          <w:sz w:val="32"/>
          <w:szCs w:val="32"/>
          <w:lang w:val="en-US" w:eastAsia="zh-CN"/>
        </w:rPr>
        <w:t>公开</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lang w:val="en-US" w:eastAsia="zh-CN"/>
        </w:rPr>
        <w:t>对召开的21次区级会议，</w:t>
      </w:r>
      <w:r>
        <w:rPr>
          <w:rFonts w:hint="eastAsia" w:ascii="Times New Roman" w:hAnsi="Times New Roman" w:eastAsia="仿宋_GB2312" w:cs="Times New Roman"/>
          <w:sz w:val="32"/>
          <w:szCs w:val="32"/>
          <w:lang w:val="en-US" w:eastAsia="zh-CN"/>
        </w:rPr>
        <w:t>以及</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信息</w:t>
      </w:r>
      <w:r>
        <w:rPr>
          <w:rFonts w:hint="default" w:ascii="Times New Roman" w:hAnsi="Times New Roman" w:eastAsia="仿宋_GB2312" w:cs="Times New Roman"/>
          <w:sz w:val="32"/>
          <w:szCs w:val="32"/>
        </w:rPr>
        <w:t>、重大</w:t>
      </w:r>
      <w:r>
        <w:rPr>
          <w:rFonts w:hint="default" w:ascii="Times New Roman" w:hAnsi="Times New Roman" w:eastAsia="仿宋_GB2312" w:cs="Times New Roman"/>
          <w:sz w:val="32"/>
          <w:szCs w:val="32"/>
          <w:lang w:val="en-US" w:eastAsia="zh-CN"/>
        </w:rPr>
        <w:t>项目建设、</w:t>
      </w:r>
      <w:r>
        <w:rPr>
          <w:rFonts w:hint="default" w:ascii="Times New Roman" w:hAnsi="Times New Roman" w:eastAsia="仿宋_GB2312" w:cs="Times New Roman"/>
          <w:sz w:val="32"/>
          <w:szCs w:val="32"/>
        </w:rPr>
        <w:t>社会公益事业建设等重点领域，</w:t>
      </w:r>
      <w:r>
        <w:rPr>
          <w:rFonts w:hint="default" w:ascii="Times New Roman" w:hAnsi="Times New Roman" w:eastAsia="仿宋_GB2312" w:cs="Times New Roman"/>
          <w:sz w:val="32"/>
          <w:szCs w:val="32"/>
          <w:lang w:val="en-US" w:eastAsia="zh-CN"/>
        </w:rPr>
        <w:t>通过视频解读、图文解读等方式进行公开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完善信息要素，优化公开方式，</w:t>
      </w:r>
      <w:r>
        <w:rPr>
          <w:rFonts w:hint="eastAsia" w:ascii="Times New Roman" w:hAnsi="Times New Roman" w:eastAsia="仿宋_GB2312" w:cs="Times New Roman"/>
          <w:sz w:val="32"/>
          <w:szCs w:val="32"/>
          <w:lang w:val="en-US" w:eastAsia="zh-CN"/>
        </w:rPr>
        <w:t>从而</w:t>
      </w:r>
      <w:r>
        <w:rPr>
          <w:rFonts w:hint="default" w:ascii="Times New Roman" w:hAnsi="Times New Roman" w:eastAsia="仿宋_GB2312" w:cs="Times New Roman"/>
          <w:sz w:val="32"/>
          <w:szCs w:val="32"/>
        </w:rPr>
        <w:t>有效提升</w:t>
      </w:r>
      <w:r>
        <w:rPr>
          <w:rFonts w:hint="eastAsia" w:ascii="Times New Roman" w:hAnsi="Times New Roman" w:eastAsia="仿宋_GB2312" w:cs="Times New Roman"/>
          <w:sz w:val="32"/>
          <w:szCs w:val="32"/>
          <w:lang w:val="en-US" w:eastAsia="zh-CN"/>
        </w:rPr>
        <w:t>了</w:t>
      </w:r>
      <w:r>
        <w:rPr>
          <w:rFonts w:hint="default" w:ascii="Times New Roman" w:hAnsi="Times New Roman" w:eastAsia="仿宋_GB2312" w:cs="Times New Roman"/>
          <w:sz w:val="32"/>
          <w:szCs w:val="32"/>
        </w:rPr>
        <w:t>重点领域信息公开的覆盖率和社会公众获取政务信息的便利性。</w:t>
      </w:r>
    </w:p>
    <w:p w14:paraId="2EE53116">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年，高区</w:t>
      </w:r>
      <w:r>
        <w:rPr>
          <w:rFonts w:hint="eastAsia" w:ascii="Times New Roman" w:hAnsi="Times New Roman" w:eastAsia="仿宋_GB2312" w:cs="Times New Roman"/>
          <w:sz w:val="32"/>
          <w:szCs w:val="32"/>
          <w:lang w:val="en-US" w:eastAsia="zh-CN"/>
        </w:rPr>
        <w:t>管委会</w:t>
      </w:r>
      <w:r>
        <w:rPr>
          <w:rFonts w:hint="default" w:ascii="Times New Roman" w:hAnsi="Times New Roman" w:eastAsia="仿宋_GB2312" w:cs="Times New Roman"/>
          <w:sz w:val="32"/>
          <w:szCs w:val="32"/>
        </w:rPr>
        <w:t>共收到并处理政府信息公开申请</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rPr>
        <w:t>件，</w:t>
      </w:r>
      <w:r>
        <w:rPr>
          <w:rFonts w:hint="default" w:ascii="Times New Roman" w:hAnsi="Times New Roman" w:eastAsia="仿宋_GB2312" w:cs="Times New Roman"/>
          <w:sz w:val="32"/>
          <w:szCs w:val="32"/>
          <w:lang w:val="en-US" w:eastAsia="zh-CN"/>
        </w:rPr>
        <w:t>协助上级调查处理</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rPr>
        <w:t>申请内容主要集中在</w:t>
      </w:r>
      <w:r>
        <w:rPr>
          <w:rFonts w:hint="default" w:ascii="Times New Roman" w:hAnsi="Times New Roman" w:eastAsia="仿宋_GB2312" w:cs="Times New Roman"/>
          <w:sz w:val="32"/>
          <w:szCs w:val="32"/>
          <w:lang w:val="en-US" w:eastAsia="zh-CN"/>
        </w:rPr>
        <w:t>征地拆迁</w:t>
      </w:r>
      <w:r>
        <w:rPr>
          <w:rFonts w:hint="default" w:ascii="Times New Roman" w:hAnsi="Times New Roman" w:eastAsia="仿宋_GB2312" w:cs="Times New Roman"/>
          <w:sz w:val="32"/>
          <w:szCs w:val="32"/>
        </w:rPr>
        <w:t>和</w:t>
      </w:r>
      <w:r>
        <w:rPr>
          <w:rFonts w:hint="default" w:ascii="Times New Roman" w:hAnsi="Times New Roman" w:eastAsia="仿宋_GB2312" w:cs="Times New Roman"/>
          <w:sz w:val="32"/>
          <w:szCs w:val="32"/>
          <w:lang w:val="en-US" w:eastAsia="zh-CN"/>
        </w:rPr>
        <w:t>房证办理等</w:t>
      </w:r>
      <w:r>
        <w:rPr>
          <w:rFonts w:hint="default" w:ascii="Times New Roman" w:hAnsi="Times New Roman" w:eastAsia="仿宋_GB2312" w:cs="Times New Roman"/>
          <w:sz w:val="32"/>
          <w:szCs w:val="32"/>
        </w:rPr>
        <w:t>领域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均按时予以答复，未发生因信息公开而导致</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rPr>
        <w:t>行政</w:t>
      </w:r>
      <w:r>
        <w:rPr>
          <w:rFonts w:hint="default" w:ascii="Times New Roman" w:hAnsi="Times New Roman" w:eastAsia="仿宋_GB2312" w:cs="Times New Roman"/>
          <w:sz w:val="32"/>
          <w:szCs w:val="32"/>
          <w:lang w:val="en-US" w:eastAsia="zh-CN"/>
        </w:rPr>
        <w:t>复议或</w:t>
      </w:r>
      <w:r>
        <w:rPr>
          <w:rFonts w:hint="default" w:ascii="Times New Roman" w:hAnsi="Times New Roman" w:eastAsia="仿宋_GB2312" w:cs="Times New Roman"/>
          <w:sz w:val="32"/>
          <w:szCs w:val="32"/>
        </w:rPr>
        <w:t>败诉案件。</w:t>
      </w:r>
      <w:r>
        <w:rPr>
          <w:rFonts w:hint="default" w:ascii="Times New Roman" w:hAnsi="Times New Roman" w:eastAsia="仿宋_GB2312" w:cs="Times New Roman"/>
          <w:sz w:val="32"/>
          <w:szCs w:val="32"/>
          <w:lang w:val="en-US" w:eastAsia="zh-CN"/>
        </w:rPr>
        <w:t>在办理过程中，进一步强化对办件问题源头的协调处理，通过沟通协商，申请人主动撤回信息公开申请3</w:t>
      </w:r>
      <w:r>
        <w:rPr>
          <w:rFonts w:hint="eastAsia"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通过调整网上依申请公开端口、修改政府信息公开指南、调整政务服务网服务事项3项措施，确保对申请人依法作出答复。</w:t>
      </w:r>
    </w:p>
    <w:p w14:paraId="7596785C">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楷体_GB2312" w:hAnsi="楷体_GB2312" w:eastAsia="仿宋_GB2312" w:cs="楷体_GB2312"/>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default" w:ascii="Times New Roman" w:hAnsi="Times New Roman" w:eastAsia="仿宋_GB2312" w:cs="Times New Roman"/>
          <w:sz w:val="32"/>
          <w:szCs w:val="32"/>
        </w:rPr>
        <w:t>制定下发了《高区202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年主动公开基本目录》</w:t>
      </w:r>
      <w:r>
        <w:rPr>
          <w:rFonts w:hint="default" w:ascii="Times New Roman" w:hAnsi="Times New Roman" w:eastAsia="仿宋_GB2312" w:cs="Times New Roman"/>
          <w:sz w:val="32"/>
          <w:szCs w:val="32"/>
          <w:lang w:val="en-US" w:eastAsia="zh-CN"/>
        </w:rPr>
        <w:t>等8个文件</w:t>
      </w:r>
      <w:r>
        <w:rPr>
          <w:rFonts w:hint="default" w:ascii="Times New Roman" w:hAnsi="Times New Roman" w:eastAsia="仿宋_GB2312" w:cs="Times New Roman"/>
          <w:sz w:val="32"/>
          <w:szCs w:val="32"/>
        </w:rPr>
        <w:t>，明确政务公开工作责任单位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目标任务</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推动</w:t>
      </w:r>
      <w:r>
        <w:rPr>
          <w:rFonts w:hint="default" w:ascii="Times New Roman" w:hAnsi="Times New Roman" w:eastAsia="仿宋_GB2312" w:cs="Times New Roman"/>
          <w:sz w:val="32"/>
          <w:szCs w:val="32"/>
        </w:rPr>
        <w:t>政务公开工作与</w:t>
      </w:r>
      <w:r>
        <w:rPr>
          <w:rFonts w:hint="default" w:ascii="Times New Roman" w:hAnsi="Times New Roman" w:eastAsia="仿宋_GB2312" w:cs="Times New Roman"/>
          <w:sz w:val="32"/>
          <w:szCs w:val="32"/>
          <w:lang w:val="en-US" w:eastAsia="zh-CN"/>
        </w:rPr>
        <w:t>各部门</w:t>
      </w:r>
      <w:r>
        <w:rPr>
          <w:rFonts w:hint="default" w:ascii="Times New Roman" w:hAnsi="Times New Roman" w:eastAsia="仿宋_GB2312" w:cs="Times New Roman"/>
          <w:sz w:val="32"/>
          <w:szCs w:val="32"/>
        </w:rPr>
        <w:t>中心工作同研究、同部署、同推进，确保</w:t>
      </w:r>
      <w:r>
        <w:rPr>
          <w:rFonts w:hint="default" w:ascii="Times New Roman" w:hAnsi="Times New Roman" w:eastAsia="仿宋_GB2312" w:cs="Times New Roman"/>
          <w:sz w:val="32"/>
          <w:szCs w:val="32"/>
          <w:lang w:val="en-US" w:eastAsia="zh-CN"/>
        </w:rPr>
        <w:t>政务公开</w:t>
      </w:r>
      <w:r>
        <w:rPr>
          <w:rFonts w:hint="default" w:ascii="Times New Roman" w:hAnsi="Times New Roman" w:eastAsia="仿宋_GB2312" w:cs="Times New Roman"/>
          <w:sz w:val="32"/>
          <w:szCs w:val="32"/>
        </w:rPr>
        <w:t>工作落实落细。</w:t>
      </w:r>
      <w:r>
        <w:rPr>
          <w:rFonts w:hint="eastAsia" w:ascii="Times New Roman" w:hAnsi="Times New Roman" w:eastAsia="仿宋_GB2312" w:cs="Times New Roman"/>
          <w:sz w:val="32"/>
          <w:szCs w:val="32"/>
          <w:lang w:val="en-US" w:eastAsia="zh-CN"/>
        </w:rPr>
        <w:t>严格落实</w:t>
      </w:r>
      <w:r>
        <w:rPr>
          <w:rFonts w:hint="eastAsia" w:ascii="仿宋_GB2312" w:hAnsi="仿宋_GB2312" w:eastAsia="仿宋_GB2312" w:cs="仿宋_GB2312"/>
          <w:sz w:val="32"/>
          <w:szCs w:val="32"/>
          <w:lang w:val="en-US" w:eastAsia="zh-CN"/>
        </w:rPr>
        <w:t>“三审三校”和</w:t>
      </w:r>
      <w:r>
        <w:rPr>
          <w:rFonts w:hint="eastAsia" w:ascii="Times New Roman" w:hAnsi="Times New Roman" w:eastAsia="仿宋_GB2312" w:cs="Times New Roman"/>
          <w:sz w:val="32"/>
          <w:szCs w:val="32"/>
          <w:lang w:val="en-US" w:eastAsia="zh-CN"/>
        </w:rPr>
        <w:t>政府信息公开保密审查机制，</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加强政务信息发布审核把关，</w:t>
      </w:r>
      <w:r>
        <w:rPr>
          <w:rFonts w:hint="eastAsia" w:ascii="Times New Roman" w:hAnsi="Times New Roman" w:eastAsia="仿宋_GB2312" w:cs="Times New Roman"/>
          <w:sz w:val="32"/>
          <w:szCs w:val="32"/>
          <w:lang w:val="en-US" w:eastAsia="zh-CN"/>
        </w:rPr>
        <w:t>确保了信息公开机制的准确性和时效性，2023</w:t>
      </w:r>
      <w:r>
        <w:rPr>
          <w:rFonts w:hint="eastAsia" w:ascii="Times New Roman" w:hAnsi="Times New Roman" w:eastAsia="仿宋_GB2312" w:cs="仿宋_GB2312"/>
          <w:color w:val="auto"/>
          <w:sz w:val="32"/>
          <w:szCs w:val="32"/>
          <w:lang w:val="en-US" w:eastAsia="zh-CN"/>
        </w:rPr>
        <w:t>年规范及时地对1个文件宣布失效</w:t>
      </w:r>
      <w:r>
        <w:rPr>
          <w:rFonts w:hint="eastAsia" w:ascii="Times New Roman" w:hAnsi="Times New Roman" w:eastAsia="仿宋_GB2312" w:cs="Times New Roman"/>
          <w:sz w:val="32"/>
          <w:szCs w:val="32"/>
          <w:lang w:val="en-US" w:eastAsia="zh-CN"/>
        </w:rPr>
        <w:t>。</w:t>
      </w:r>
    </w:p>
    <w:p w14:paraId="41D4E0FF">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default" w:ascii="Times New Roman" w:hAnsi="Times New Roman" w:eastAsia="仿宋_GB2312" w:cs="Times New Roman"/>
          <w:sz w:val="32"/>
          <w:szCs w:val="32"/>
        </w:rPr>
        <w:t>健全</w:t>
      </w:r>
      <w:r>
        <w:rPr>
          <w:rFonts w:hint="default" w:ascii="Times New Roman" w:hAnsi="Times New Roman" w:eastAsia="仿宋_GB2312" w:cs="Times New Roman"/>
          <w:sz w:val="32"/>
          <w:szCs w:val="32"/>
          <w:lang w:val="en-US" w:eastAsia="zh-CN"/>
        </w:rPr>
        <w:t>管委网站、</w:t>
      </w:r>
      <w:r>
        <w:rPr>
          <w:rFonts w:hint="default" w:ascii="Times New Roman" w:hAnsi="Times New Roman" w:eastAsia="仿宋_GB2312" w:cs="Times New Roman"/>
          <w:sz w:val="32"/>
          <w:szCs w:val="32"/>
        </w:rPr>
        <w:t>新媒体监管机制，定期对错敏词及更新超期问题进行监管，提前监测预警，</w:t>
      </w:r>
      <w:r>
        <w:rPr>
          <w:rFonts w:hint="default" w:ascii="Times New Roman" w:hAnsi="Times New Roman" w:eastAsia="仿宋_GB2312" w:cs="Times New Roman"/>
          <w:sz w:val="32"/>
          <w:szCs w:val="32"/>
          <w:lang w:val="en-US" w:eastAsia="zh-CN"/>
        </w:rPr>
        <w:t>组织</w:t>
      </w:r>
      <w:r>
        <w:rPr>
          <w:rFonts w:hint="eastAsia" w:ascii="Times New Roman" w:hAnsi="Times New Roman" w:eastAsia="仿宋_GB2312" w:cs="Times New Roman"/>
          <w:sz w:val="32"/>
          <w:szCs w:val="32"/>
          <w:lang w:val="en-US" w:eastAsia="zh-CN"/>
        </w:rPr>
        <w:t>自查自纠各类</w:t>
      </w:r>
      <w:r>
        <w:rPr>
          <w:rFonts w:hint="default" w:ascii="Times New Roman" w:hAnsi="Times New Roman" w:eastAsia="仿宋_GB2312" w:cs="Times New Roman"/>
          <w:sz w:val="32"/>
          <w:szCs w:val="32"/>
          <w:lang w:val="en-US" w:eastAsia="zh-CN"/>
        </w:rPr>
        <w:t>问题695次，推进信息公开“零差错”</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拓展线下公开的渠道与路径，</w:t>
      </w:r>
      <w:r>
        <w:rPr>
          <w:rFonts w:hint="default" w:ascii="Times New Roman" w:hAnsi="Times New Roman" w:eastAsia="仿宋_GB2312" w:cs="Times New Roman"/>
          <w:sz w:val="32"/>
          <w:szCs w:val="32"/>
          <w:lang w:val="en-US" w:eastAsia="zh-CN"/>
        </w:rPr>
        <w:t>组织区内14个部门、单位及3个镇街开展“阳光透明，公开入威”政府开放日活动，通过丰富多彩的形式，促进政务公开“零距离”。</w:t>
      </w:r>
    </w:p>
    <w:p w14:paraId="1BCB6808">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强化组织领导，管委主要负责同志多次听取和研究政务公开工作，亲自作出批示推进实施。坚持将政务公开工作纳入绩效考核体系，制定并印发《高区2023年度政务公开工作考评细则》，确保年度工作平稳有序推进。组织</w:t>
      </w:r>
      <w:r>
        <w:rPr>
          <w:rFonts w:hint="eastAsia" w:ascii="Times New Roman" w:hAnsi="Times New Roman" w:eastAsia="仿宋_GB2312" w:cs="仿宋_GB2312"/>
          <w:color w:val="auto"/>
          <w:sz w:val="32"/>
          <w:szCs w:val="32"/>
          <w:lang w:eastAsia="zh-CN"/>
        </w:rPr>
        <w:t>开展政务公开、政务新媒体专题培训</w:t>
      </w:r>
      <w:r>
        <w:rPr>
          <w:rFonts w:hint="eastAsia" w:ascii="Times New Roman" w:hAnsi="Times New Roman" w:eastAsia="仿宋_GB2312" w:cs="仿宋_GB2312"/>
          <w:color w:val="auto"/>
          <w:sz w:val="32"/>
          <w:szCs w:val="32"/>
          <w:lang w:val="en-US" w:eastAsia="zh-CN"/>
        </w:rPr>
        <w:t>2次，</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累计培训130余人次，</w:t>
      </w:r>
      <w:r>
        <w:rPr>
          <w:rFonts w:hint="eastAsia" w:ascii="Times New Roman" w:hAnsi="Times New Roman" w:eastAsia="仿宋_GB2312" w:cs="仿宋_GB2312"/>
          <w:color w:val="auto"/>
          <w:sz w:val="32"/>
          <w:szCs w:val="32"/>
          <w:lang w:eastAsia="zh-CN"/>
        </w:rPr>
        <w:t>有力促进了政务公开工作落实。</w:t>
      </w:r>
    </w:p>
    <w:p w14:paraId="48FE50A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p w14:paraId="7BAD948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lang w:val="en-US"/>
        </w:rPr>
      </w:pP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3DE113F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1D411AC">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309089A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319E17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740061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C48B2F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253C590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6913DC60">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82DD97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4808D4FB">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768873BF">
            <w:pPr>
              <w:widowControl/>
              <w:jc w:val="center"/>
              <w:rPr>
                <w:rFonts w:hint="eastAsia"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119EEDB0">
            <w:pPr>
              <w:widowControl/>
              <w:jc w:val="center"/>
              <w:rPr>
                <w:rFonts w:hint="eastAsia"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0</w:t>
            </w:r>
          </w:p>
        </w:tc>
      </w:tr>
      <w:tr w14:paraId="2869CE1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8EB11E1">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A9FDBFE">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1</w:t>
            </w:r>
          </w:p>
        </w:tc>
        <w:tc>
          <w:tcPr>
            <w:tcW w:w="2206" w:type="dxa"/>
            <w:tcBorders>
              <w:top w:val="nil"/>
              <w:left w:val="nil"/>
              <w:bottom w:val="single" w:color="auto" w:sz="8" w:space="0"/>
              <w:right w:val="single" w:color="auto" w:sz="8" w:space="0"/>
            </w:tcBorders>
            <w:shd w:val="clear" w:color="auto" w:fill="auto"/>
            <w:vAlign w:val="center"/>
          </w:tcPr>
          <w:p w14:paraId="051F6C90">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002A9948">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16</w:t>
            </w:r>
          </w:p>
        </w:tc>
      </w:tr>
      <w:tr w14:paraId="1F64BAC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3F32C33">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32BD812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C86C22A">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6D37F6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19CE937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6E8773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794A80B">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34240</w:t>
            </w:r>
          </w:p>
        </w:tc>
      </w:tr>
      <w:tr w14:paraId="1FC5416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87017FF">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61B8BBA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8069940">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CA1031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C2A9C6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76456A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48D2424">
            <w:pPr>
              <w:widowControl/>
              <w:jc w:val="center"/>
              <w:rPr>
                <w:rFonts w:hint="default"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1505</w:t>
            </w:r>
          </w:p>
        </w:tc>
      </w:tr>
      <w:tr w14:paraId="5C97CDE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F8798B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9554144">
            <w:pPr>
              <w:widowControl/>
              <w:jc w:val="center"/>
              <w:rPr>
                <w:rFonts w:hint="default"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2276</w:t>
            </w:r>
          </w:p>
        </w:tc>
      </w:tr>
      <w:tr w14:paraId="6F15508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3253DF5">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382E284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ABAC1D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C35DB1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6D1BB1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9326D2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7B11B7C">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themeColor="text1"/>
                <w:kern w:val="0"/>
                <w:szCs w:val="21"/>
                <w:lang w:val="en-US" w:eastAsia="zh-CN"/>
                <w14:textFill>
                  <w14:solidFill>
                    <w14:schemeClr w14:val="tx1"/>
                  </w14:solidFill>
                </w14:textFill>
              </w:rPr>
              <w:t>745.94</w:t>
            </w:r>
          </w:p>
        </w:tc>
      </w:tr>
    </w:tbl>
    <w:p w14:paraId="2EAA39E9">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仿宋_GB2312" w:cs="Times New Roman"/>
          <w:b w:val="0"/>
          <w:bCs/>
          <w:i w:val="0"/>
          <w:caps w:val="0"/>
          <w:color w:val="FF0000"/>
          <w:spacing w:val="0"/>
          <w:sz w:val="32"/>
          <w:szCs w:val="32"/>
          <w:shd w:val="clear" w:fill="FFFFFF"/>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p w14:paraId="67C9FA83">
      <w:pPr>
        <w:pStyle w:val="6"/>
        <w:rPr>
          <w:rFonts w:hint="eastAsia" w:ascii="Times New Roman" w:hAnsi="Times New Roman" w:eastAsia="仿宋_GB2312" w:cs="Times New Roman"/>
          <w:b w:val="0"/>
          <w:bCs/>
          <w:i w:val="0"/>
          <w:caps w:val="0"/>
          <w:color w:val="FF0000"/>
          <w:spacing w:val="0"/>
          <w:sz w:val="32"/>
          <w:szCs w:val="32"/>
          <w:shd w:val="clear" w:fill="FFFFFF"/>
          <w:lang w:val="en-US" w:eastAsia="zh-CN"/>
        </w:rPr>
      </w:pP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17867C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2D9C626A">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2976A177">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14:paraId="39AEC71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6803EC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39062738">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5B1822ED">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14:paraId="3CD6F01A">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3C2B3316">
            <w:pPr>
              <w:widowControl/>
              <w:jc w:val="center"/>
              <w:rPr>
                <w:rFonts w:ascii="黑体" w:hAnsi="黑体" w:eastAsia="黑体"/>
                <w:szCs w:val="21"/>
              </w:rPr>
            </w:pPr>
            <w:r>
              <w:rPr>
                <w:rFonts w:hint="eastAsia" w:ascii="黑体" w:hAnsi="黑体" w:eastAsia="黑体"/>
                <w:kern w:val="0"/>
                <w:szCs w:val="21"/>
              </w:rPr>
              <w:t>总计</w:t>
            </w:r>
          </w:p>
        </w:tc>
      </w:tr>
      <w:tr w14:paraId="1CDDC2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DEB23F6">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1F323517">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452F8005">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78C4E19A">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6532EE15">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44FDA5B7">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4F959FB3">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49C586F8">
            <w:pPr>
              <w:jc w:val="center"/>
              <w:rPr>
                <w:rFonts w:ascii="仿宋_GB2312" w:hAnsi="Times New Roman" w:eastAsia="仿宋_GB2312"/>
                <w:szCs w:val="21"/>
              </w:rPr>
            </w:pPr>
          </w:p>
        </w:tc>
      </w:tr>
      <w:tr w14:paraId="65EFED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5ED9E4B">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14:paraId="6DB5DA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26</w:t>
            </w:r>
          </w:p>
        </w:tc>
        <w:tc>
          <w:tcPr>
            <w:tcW w:w="540" w:type="dxa"/>
            <w:gridSpan w:val="7"/>
            <w:shd w:val="clear" w:color="auto" w:fill="auto"/>
            <w:tcMar>
              <w:left w:w="108" w:type="dxa"/>
              <w:right w:w="108" w:type="dxa"/>
            </w:tcMar>
            <w:vAlign w:val="center"/>
          </w:tcPr>
          <w:p w14:paraId="597020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27FCEC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9939F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C3D49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67798E5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7B0AD6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26</w:t>
            </w:r>
          </w:p>
        </w:tc>
      </w:tr>
      <w:tr w14:paraId="654EF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232F7E0">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14:paraId="2E1384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3</w:t>
            </w:r>
          </w:p>
        </w:tc>
        <w:tc>
          <w:tcPr>
            <w:tcW w:w="540" w:type="dxa"/>
            <w:gridSpan w:val="7"/>
            <w:shd w:val="clear" w:color="auto" w:fill="auto"/>
            <w:tcMar>
              <w:left w:w="108" w:type="dxa"/>
              <w:right w:w="108" w:type="dxa"/>
            </w:tcMar>
            <w:vAlign w:val="center"/>
          </w:tcPr>
          <w:p w14:paraId="7307A7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412A0B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3BB27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2139B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3B5D1B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0027BC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3</w:t>
            </w:r>
          </w:p>
        </w:tc>
      </w:tr>
      <w:tr w14:paraId="44FE54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6AA267A6">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5A0F0C59">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14:paraId="19B676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5</w:t>
            </w:r>
          </w:p>
        </w:tc>
        <w:tc>
          <w:tcPr>
            <w:tcW w:w="540" w:type="dxa"/>
            <w:gridSpan w:val="7"/>
            <w:shd w:val="clear" w:color="auto" w:fill="auto"/>
            <w:tcMar>
              <w:left w:w="108" w:type="dxa"/>
              <w:right w:w="108" w:type="dxa"/>
            </w:tcMar>
            <w:vAlign w:val="center"/>
          </w:tcPr>
          <w:p w14:paraId="3820B6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1309F1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A6EB9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B4852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84397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F4E5B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5</w:t>
            </w:r>
          </w:p>
        </w:tc>
      </w:tr>
      <w:tr w14:paraId="63649C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6326EA7">
            <w:pPr>
              <w:rPr>
                <w:rFonts w:ascii="黑体" w:hAnsi="黑体" w:eastAsia="黑体"/>
                <w:szCs w:val="21"/>
              </w:rPr>
            </w:pPr>
          </w:p>
        </w:tc>
        <w:tc>
          <w:tcPr>
            <w:tcW w:w="4677" w:type="dxa"/>
            <w:gridSpan w:val="2"/>
            <w:shd w:val="clear" w:color="auto" w:fill="auto"/>
            <w:tcMar>
              <w:left w:w="108" w:type="dxa"/>
              <w:right w:w="108" w:type="dxa"/>
            </w:tcMar>
            <w:vAlign w:val="center"/>
          </w:tcPr>
          <w:p w14:paraId="474D3820">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14:paraId="545C3A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40" w:type="dxa"/>
            <w:gridSpan w:val="7"/>
            <w:shd w:val="clear" w:color="auto" w:fill="auto"/>
            <w:tcMar>
              <w:left w:w="108" w:type="dxa"/>
              <w:right w:w="108" w:type="dxa"/>
            </w:tcMar>
            <w:vAlign w:val="center"/>
          </w:tcPr>
          <w:p w14:paraId="6ECF95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44DC99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9CB9B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52B44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E9A5FC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FFDCC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561CC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19F574F">
            <w:pPr>
              <w:rPr>
                <w:rFonts w:ascii="黑体" w:hAnsi="黑体" w:eastAsia="黑体"/>
                <w:szCs w:val="21"/>
              </w:rPr>
            </w:pPr>
          </w:p>
        </w:tc>
        <w:tc>
          <w:tcPr>
            <w:tcW w:w="1701" w:type="dxa"/>
            <w:vMerge w:val="restart"/>
            <w:shd w:val="clear" w:color="auto" w:fill="auto"/>
            <w:tcMar>
              <w:left w:w="108" w:type="dxa"/>
              <w:right w:w="108" w:type="dxa"/>
            </w:tcMar>
            <w:vAlign w:val="center"/>
          </w:tcPr>
          <w:p w14:paraId="4CC4E291">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47066F74">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14:paraId="50E110C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76883A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461442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1C91C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76C71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E4F8C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15C57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090B6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82FC30">
            <w:pPr>
              <w:rPr>
                <w:rFonts w:ascii="黑体" w:hAnsi="黑体" w:eastAsia="黑体"/>
                <w:szCs w:val="21"/>
              </w:rPr>
            </w:pPr>
          </w:p>
        </w:tc>
        <w:tc>
          <w:tcPr>
            <w:tcW w:w="1701" w:type="dxa"/>
            <w:vMerge w:val="continue"/>
            <w:shd w:val="clear" w:color="auto" w:fill="auto"/>
            <w:tcMar>
              <w:left w:w="108" w:type="dxa"/>
              <w:right w:w="108" w:type="dxa"/>
            </w:tcMar>
            <w:vAlign w:val="center"/>
          </w:tcPr>
          <w:p w14:paraId="433CB97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3B92159">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14:paraId="2CD774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3E16B74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25BFA6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1AE63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707A2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76CD4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8C4EB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DF2FF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6EF58F9">
            <w:pPr>
              <w:rPr>
                <w:rFonts w:ascii="黑体" w:hAnsi="黑体" w:eastAsia="黑体"/>
                <w:szCs w:val="21"/>
              </w:rPr>
            </w:pPr>
          </w:p>
        </w:tc>
        <w:tc>
          <w:tcPr>
            <w:tcW w:w="1701" w:type="dxa"/>
            <w:vMerge w:val="continue"/>
            <w:shd w:val="clear" w:color="auto" w:fill="auto"/>
            <w:tcMar>
              <w:left w:w="108" w:type="dxa"/>
              <w:right w:w="108" w:type="dxa"/>
            </w:tcMar>
            <w:vAlign w:val="center"/>
          </w:tcPr>
          <w:p w14:paraId="25F76F9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FC7EEA2">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14:paraId="52F446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7B8BD7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5AD8BE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B7FDF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1B322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0AA17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B8CBA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CC07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220EA4F">
            <w:pPr>
              <w:rPr>
                <w:rFonts w:ascii="黑体" w:hAnsi="黑体" w:eastAsia="黑体"/>
                <w:szCs w:val="21"/>
              </w:rPr>
            </w:pPr>
          </w:p>
        </w:tc>
        <w:tc>
          <w:tcPr>
            <w:tcW w:w="1701" w:type="dxa"/>
            <w:vMerge w:val="continue"/>
            <w:shd w:val="clear" w:color="auto" w:fill="auto"/>
            <w:tcMar>
              <w:left w:w="108" w:type="dxa"/>
              <w:right w:w="108" w:type="dxa"/>
            </w:tcMar>
            <w:vAlign w:val="center"/>
          </w:tcPr>
          <w:p w14:paraId="5890DDA1">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7349CFD">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14:paraId="383F6BF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2761B0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24CDD7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D77CA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27858E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B07A6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45F43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EF5E1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3B3F73A">
            <w:pPr>
              <w:rPr>
                <w:rFonts w:ascii="黑体" w:hAnsi="黑体" w:eastAsia="黑体"/>
                <w:szCs w:val="21"/>
              </w:rPr>
            </w:pPr>
          </w:p>
        </w:tc>
        <w:tc>
          <w:tcPr>
            <w:tcW w:w="1701" w:type="dxa"/>
            <w:vMerge w:val="continue"/>
            <w:shd w:val="clear" w:color="auto" w:fill="auto"/>
            <w:tcMar>
              <w:left w:w="108" w:type="dxa"/>
              <w:right w:w="108" w:type="dxa"/>
            </w:tcMar>
            <w:vAlign w:val="center"/>
          </w:tcPr>
          <w:p w14:paraId="187F978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0032FB5">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14:paraId="5A9A95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57B54F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1A0909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7170B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F1FC8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B533A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52233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CCC74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73007C">
            <w:pPr>
              <w:rPr>
                <w:rFonts w:ascii="黑体" w:hAnsi="黑体" w:eastAsia="黑体"/>
                <w:szCs w:val="21"/>
              </w:rPr>
            </w:pPr>
          </w:p>
        </w:tc>
        <w:tc>
          <w:tcPr>
            <w:tcW w:w="1701" w:type="dxa"/>
            <w:vMerge w:val="continue"/>
            <w:shd w:val="clear" w:color="auto" w:fill="auto"/>
            <w:tcMar>
              <w:left w:w="108" w:type="dxa"/>
              <w:right w:w="108" w:type="dxa"/>
            </w:tcMar>
            <w:vAlign w:val="center"/>
          </w:tcPr>
          <w:p w14:paraId="00B1197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3A09EAB">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14:paraId="63962F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041FC1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FE63E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47741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F14E8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D3641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13B11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F2CC7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9BCA23A">
            <w:pPr>
              <w:rPr>
                <w:rFonts w:ascii="黑体" w:hAnsi="黑体" w:eastAsia="黑体"/>
                <w:szCs w:val="21"/>
              </w:rPr>
            </w:pPr>
          </w:p>
        </w:tc>
        <w:tc>
          <w:tcPr>
            <w:tcW w:w="1701" w:type="dxa"/>
            <w:vMerge w:val="continue"/>
            <w:shd w:val="clear" w:color="auto" w:fill="auto"/>
            <w:tcMar>
              <w:left w:w="108" w:type="dxa"/>
              <w:right w:w="108" w:type="dxa"/>
            </w:tcMar>
            <w:vAlign w:val="center"/>
          </w:tcPr>
          <w:p w14:paraId="089F9F4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B3D10D7">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14:paraId="1A5BF3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5A1092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97F75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FA78C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FFE07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BCEA7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C8D3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FA86A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999D204">
            <w:pPr>
              <w:rPr>
                <w:rFonts w:ascii="黑体" w:hAnsi="黑体" w:eastAsia="黑体"/>
                <w:szCs w:val="21"/>
              </w:rPr>
            </w:pPr>
          </w:p>
        </w:tc>
        <w:tc>
          <w:tcPr>
            <w:tcW w:w="1701" w:type="dxa"/>
            <w:vMerge w:val="continue"/>
            <w:shd w:val="clear" w:color="auto" w:fill="auto"/>
            <w:tcMar>
              <w:left w:w="108" w:type="dxa"/>
              <w:right w:w="108" w:type="dxa"/>
            </w:tcMar>
            <w:vAlign w:val="center"/>
          </w:tcPr>
          <w:p w14:paraId="63352ABC">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25F9791">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14:paraId="17EE7F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04566F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02886B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EF168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44C00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F7787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BCC68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C2789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2A2820">
            <w:pPr>
              <w:rPr>
                <w:rFonts w:ascii="黑体" w:hAnsi="黑体" w:eastAsia="黑体"/>
                <w:szCs w:val="21"/>
              </w:rPr>
            </w:pPr>
          </w:p>
        </w:tc>
        <w:tc>
          <w:tcPr>
            <w:tcW w:w="1701" w:type="dxa"/>
            <w:vMerge w:val="restart"/>
            <w:shd w:val="clear" w:color="auto" w:fill="auto"/>
            <w:tcMar>
              <w:left w:w="108" w:type="dxa"/>
              <w:right w:w="108" w:type="dxa"/>
            </w:tcMar>
            <w:vAlign w:val="center"/>
          </w:tcPr>
          <w:p w14:paraId="5E6DD8A1">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6BC2A67A">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14:paraId="055BE8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16</w:t>
            </w:r>
          </w:p>
        </w:tc>
        <w:tc>
          <w:tcPr>
            <w:tcW w:w="538" w:type="dxa"/>
            <w:gridSpan w:val="7"/>
            <w:shd w:val="clear" w:color="auto" w:fill="auto"/>
            <w:tcMar>
              <w:left w:w="108" w:type="dxa"/>
              <w:right w:w="108" w:type="dxa"/>
            </w:tcMar>
            <w:vAlign w:val="center"/>
          </w:tcPr>
          <w:p w14:paraId="73CAF9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21FCF2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D5025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6F0950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B9967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66F78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16</w:t>
            </w:r>
          </w:p>
        </w:tc>
      </w:tr>
      <w:tr w14:paraId="601259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0189E68">
            <w:pPr>
              <w:rPr>
                <w:rFonts w:ascii="黑体" w:hAnsi="黑体" w:eastAsia="黑体"/>
                <w:szCs w:val="21"/>
              </w:rPr>
            </w:pPr>
          </w:p>
        </w:tc>
        <w:tc>
          <w:tcPr>
            <w:tcW w:w="1701" w:type="dxa"/>
            <w:vMerge w:val="continue"/>
            <w:shd w:val="clear" w:color="auto" w:fill="auto"/>
            <w:tcMar>
              <w:left w:w="108" w:type="dxa"/>
              <w:right w:w="108" w:type="dxa"/>
            </w:tcMar>
            <w:vAlign w:val="center"/>
          </w:tcPr>
          <w:p w14:paraId="0F70EADE">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3E5C6ABC">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14:paraId="05DF56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53846A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02ED65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4E72A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2ABB2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D0939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DDB82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60255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2F807A6">
            <w:pPr>
              <w:rPr>
                <w:rFonts w:ascii="黑体" w:hAnsi="黑体" w:eastAsia="黑体"/>
                <w:szCs w:val="21"/>
              </w:rPr>
            </w:pPr>
          </w:p>
        </w:tc>
        <w:tc>
          <w:tcPr>
            <w:tcW w:w="1701" w:type="dxa"/>
            <w:vMerge w:val="continue"/>
            <w:shd w:val="clear" w:color="auto" w:fill="auto"/>
            <w:tcMar>
              <w:left w:w="108" w:type="dxa"/>
              <w:right w:w="108" w:type="dxa"/>
            </w:tcMar>
            <w:vAlign w:val="center"/>
          </w:tcPr>
          <w:p w14:paraId="32223453">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38C3A22C">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14:paraId="2D5192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103FDA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7EB0AA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8B4A7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AB705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50403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A9442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7CD1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97EC67">
            <w:pPr>
              <w:rPr>
                <w:rFonts w:ascii="黑体" w:hAnsi="黑体" w:eastAsia="黑体"/>
                <w:szCs w:val="21"/>
              </w:rPr>
            </w:pPr>
          </w:p>
        </w:tc>
        <w:tc>
          <w:tcPr>
            <w:tcW w:w="1701" w:type="dxa"/>
            <w:vMerge w:val="restart"/>
            <w:shd w:val="clear" w:color="auto" w:fill="auto"/>
            <w:tcMar>
              <w:left w:w="108" w:type="dxa"/>
              <w:right w:w="108" w:type="dxa"/>
            </w:tcMar>
            <w:vAlign w:val="center"/>
          </w:tcPr>
          <w:p w14:paraId="1D3786EE">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1CDDAAB9">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14:paraId="44319A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3430CE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239DFC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6A3B8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2B372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BE3BB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ED7A3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B1764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25FAB61">
            <w:pPr>
              <w:rPr>
                <w:rFonts w:ascii="黑体" w:hAnsi="黑体" w:eastAsia="黑体"/>
                <w:szCs w:val="21"/>
              </w:rPr>
            </w:pPr>
          </w:p>
        </w:tc>
        <w:tc>
          <w:tcPr>
            <w:tcW w:w="1701" w:type="dxa"/>
            <w:vMerge w:val="continue"/>
            <w:shd w:val="clear" w:color="auto" w:fill="auto"/>
            <w:tcMar>
              <w:left w:w="108" w:type="dxa"/>
              <w:right w:w="108" w:type="dxa"/>
            </w:tcMar>
            <w:vAlign w:val="center"/>
          </w:tcPr>
          <w:p w14:paraId="2CBDBC7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3962E61">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14:paraId="7277B8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7E2861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012604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20416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BA812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611F9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76B71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6492DC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EB4D96">
            <w:pPr>
              <w:rPr>
                <w:rFonts w:ascii="黑体" w:hAnsi="黑体" w:eastAsia="黑体"/>
                <w:szCs w:val="21"/>
              </w:rPr>
            </w:pPr>
          </w:p>
        </w:tc>
        <w:tc>
          <w:tcPr>
            <w:tcW w:w="1701" w:type="dxa"/>
            <w:vMerge w:val="continue"/>
            <w:shd w:val="clear" w:color="auto" w:fill="auto"/>
            <w:tcMar>
              <w:left w:w="108" w:type="dxa"/>
              <w:right w:w="108" w:type="dxa"/>
            </w:tcMar>
            <w:vAlign w:val="center"/>
          </w:tcPr>
          <w:p w14:paraId="279AA0F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AA227E5">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14:paraId="38E791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09F975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3B45BD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372D0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8A0E8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7CB20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BEEF3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E6FB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BF3BDA2">
            <w:pPr>
              <w:rPr>
                <w:rFonts w:ascii="黑体" w:hAnsi="黑体" w:eastAsia="黑体"/>
                <w:szCs w:val="21"/>
              </w:rPr>
            </w:pPr>
          </w:p>
        </w:tc>
        <w:tc>
          <w:tcPr>
            <w:tcW w:w="1701" w:type="dxa"/>
            <w:vMerge w:val="continue"/>
            <w:shd w:val="clear" w:color="auto" w:fill="auto"/>
            <w:tcMar>
              <w:left w:w="108" w:type="dxa"/>
              <w:right w:w="108" w:type="dxa"/>
            </w:tcMar>
            <w:vAlign w:val="center"/>
          </w:tcPr>
          <w:p w14:paraId="7475028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9181FCE">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14:paraId="239284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0F8C8E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53A2E27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B542A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18B66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A7395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EF87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2810A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C2B66DD">
            <w:pPr>
              <w:rPr>
                <w:rFonts w:ascii="黑体" w:hAnsi="黑体" w:eastAsia="黑体"/>
                <w:szCs w:val="21"/>
              </w:rPr>
            </w:pPr>
          </w:p>
        </w:tc>
        <w:tc>
          <w:tcPr>
            <w:tcW w:w="1701" w:type="dxa"/>
            <w:vMerge w:val="continue"/>
            <w:shd w:val="clear" w:color="auto" w:fill="auto"/>
            <w:tcMar>
              <w:left w:w="108" w:type="dxa"/>
              <w:right w:w="108" w:type="dxa"/>
            </w:tcMar>
            <w:vAlign w:val="center"/>
          </w:tcPr>
          <w:p w14:paraId="23FBD082">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D877AC9">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58704735">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14:paraId="07BF2D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22CD2B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70E8B4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FC8F8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D8093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64E17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FB203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1B6A1D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8FCC607">
            <w:pPr>
              <w:rPr>
                <w:rFonts w:ascii="黑体" w:hAnsi="黑体" w:eastAsia="黑体"/>
                <w:szCs w:val="21"/>
              </w:rPr>
            </w:pPr>
          </w:p>
        </w:tc>
        <w:tc>
          <w:tcPr>
            <w:tcW w:w="1701" w:type="dxa"/>
            <w:vMerge w:val="restart"/>
            <w:shd w:val="clear" w:color="auto" w:fill="auto"/>
            <w:tcMar>
              <w:left w:w="108" w:type="dxa"/>
              <w:right w:w="108" w:type="dxa"/>
            </w:tcMar>
            <w:vAlign w:val="center"/>
          </w:tcPr>
          <w:p w14:paraId="16C15AD2">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6E2EFE31">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02F684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091326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2FBC33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D26A9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88CAE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EC87A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0B607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4AE50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CB4B2DE">
            <w:pPr>
              <w:rPr>
                <w:rFonts w:ascii="黑体" w:hAnsi="黑体" w:eastAsia="黑体"/>
                <w:szCs w:val="21"/>
              </w:rPr>
            </w:pPr>
          </w:p>
        </w:tc>
        <w:tc>
          <w:tcPr>
            <w:tcW w:w="1701" w:type="dxa"/>
            <w:vMerge w:val="continue"/>
            <w:shd w:val="clear" w:color="auto" w:fill="auto"/>
            <w:tcMar>
              <w:left w:w="108" w:type="dxa"/>
              <w:right w:w="108" w:type="dxa"/>
            </w:tcMar>
            <w:vAlign w:val="center"/>
          </w:tcPr>
          <w:p w14:paraId="48EB90E2">
            <w:pPr>
              <w:widowControl/>
              <w:spacing w:line="300" w:lineRule="exact"/>
              <w:rPr>
                <w:rFonts w:ascii="黑体" w:hAnsi="黑体" w:eastAsia="黑体"/>
                <w:kern w:val="0"/>
                <w:szCs w:val="21"/>
              </w:rPr>
            </w:pPr>
          </w:p>
        </w:tc>
        <w:tc>
          <w:tcPr>
            <w:tcW w:w="2976" w:type="dxa"/>
            <w:shd w:val="clear" w:color="auto" w:fill="auto"/>
            <w:vAlign w:val="center"/>
          </w:tcPr>
          <w:p w14:paraId="18869B0E">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528DFC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771EAE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0381B4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46F7A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DD5D4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EA114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27AEA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F5F33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008CD38">
            <w:pPr>
              <w:rPr>
                <w:rFonts w:ascii="黑体" w:hAnsi="黑体" w:eastAsia="黑体"/>
                <w:szCs w:val="21"/>
              </w:rPr>
            </w:pPr>
          </w:p>
        </w:tc>
        <w:tc>
          <w:tcPr>
            <w:tcW w:w="1701" w:type="dxa"/>
            <w:vMerge w:val="continue"/>
            <w:shd w:val="clear" w:color="auto" w:fill="auto"/>
            <w:tcMar>
              <w:left w:w="108" w:type="dxa"/>
              <w:right w:w="108" w:type="dxa"/>
            </w:tcMar>
            <w:vAlign w:val="center"/>
          </w:tcPr>
          <w:p w14:paraId="7486E25A">
            <w:pPr>
              <w:widowControl/>
              <w:spacing w:line="300" w:lineRule="exact"/>
              <w:rPr>
                <w:rFonts w:ascii="黑体" w:hAnsi="黑体" w:eastAsia="黑体"/>
                <w:kern w:val="0"/>
                <w:szCs w:val="21"/>
              </w:rPr>
            </w:pPr>
          </w:p>
        </w:tc>
        <w:tc>
          <w:tcPr>
            <w:tcW w:w="2976" w:type="dxa"/>
            <w:shd w:val="clear" w:color="auto" w:fill="auto"/>
            <w:vAlign w:val="center"/>
          </w:tcPr>
          <w:p w14:paraId="600388D2">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4A4CC3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6152F0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7C8573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1628A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99D62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116F1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55848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AE554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6DCB5A8">
            <w:pPr>
              <w:rPr>
                <w:rFonts w:ascii="黑体" w:hAnsi="黑体" w:eastAsia="黑体"/>
                <w:szCs w:val="21"/>
              </w:rPr>
            </w:pPr>
          </w:p>
        </w:tc>
        <w:tc>
          <w:tcPr>
            <w:tcW w:w="4677" w:type="dxa"/>
            <w:gridSpan w:val="2"/>
            <w:shd w:val="clear" w:color="auto" w:fill="auto"/>
            <w:tcMar>
              <w:left w:w="108" w:type="dxa"/>
              <w:right w:w="108" w:type="dxa"/>
            </w:tcMar>
            <w:vAlign w:val="center"/>
          </w:tcPr>
          <w:p w14:paraId="3EEA33E0">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14:paraId="1A3026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25</w:t>
            </w:r>
          </w:p>
        </w:tc>
        <w:tc>
          <w:tcPr>
            <w:tcW w:w="539" w:type="dxa"/>
            <w:gridSpan w:val="7"/>
            <w:shd w:val="clear" w:color="auto" w:fill="auto"/>
            <w:tcMar>
              <w:left w:w="108" w:type="dxa"/>
              <w:right w:w="108" w:type="dxa"/>
            </w:tcMar>
            <w:vAlign w:val="center"/>
          </w:tcPr>
          <w:p w14:paraId="5A81BD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5A66DA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5669D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A163C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672AF2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465B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25</w:t>
            </w:r>
          </w:p>
        </w:tc>
      </w:tr>
      <w:tr w14:paraId="016E97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4502D28F">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4"/>
            <w:shd w:val="clear" w:color="auto" w:fill="auto"/>
            <w:tcMar>
              <w:left w:w="108" w:type="dxa"/>
              <w:right w:w="108" w:type="dxa"/>
            </w:tcMar>
            <w:vAlign w:val="center"/>
          </w:tcPr>
          <w:p w14:paraId="29406A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4</w:t>
            </w:r>
          </w:p>
        </w:tc>
        <w:tc>
          <w:tcPr>
            <w:tcW w:w="539" w:type="dxa"/>
            <w:gridSpan w:val="7"/>
            <w:shd w:val="clear" w:color="auto" w:fill="auto"/>
            <w:tcMar>
              <w:left w:w="108" w:type="dxa"/>
              <w:right w:w="108" w:type="dxa"/>
            </w:tcMar>
            <w:vAlign w:val="center"/>
          </w:tcPr>
          <w:p w14:paraId="07688A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FA5E3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12977E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636D4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23968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13739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4</w:t>
            </w:r>
          </w:p>
        </w:tc>
      </w:tr>
    </w:tbl>
    <w:p w14:paraId="16D9FE70">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政府信息公开行政复议、行政诉讼情况</w:t>
      </w:r>
    </w:p>
    <w:p w14:paraId="2241ED71">
      <w:pPr>
        <w:pStyle w:val="6"/>
        <w:numPr>
          <w:ilvl w:val="0"/>
          <w:numId w:val="0"/>
        </w:numPr>
        <w:rPr>
          <w:rFonts w:hint="eastAsia"/>
          <w:lang w:val="en-US" w:eastAsia="zh-CN"/>
        </w:rPr>
      </w:pP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86AB9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4E87B9">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FAF522">
            <w:pPr>
              <w:widowControl/>
              <w:jc w:val="center"/>
              <w:rPr>
                <w:rFonts w:ascii="黑体" w:hAnsi="黑体" w:eastAsia="黑体"/>
              </w:rPr>
            </w:pPr>
            <w:r>
              <w:rPr>
                <w:rFonts w:ascii="黑体" w:hAnsi="黑体" w:eastAsia="黑体"/>
                <w:kern w:val="0"/>
                <w:sz w:val="20"/>
                <w:szCs w:val="20"/>
              </w:rPr>
              <w:t>行政诉讼</w:t>
            </w:r>
          </w:p>
        </w:tc>
      </w:tr>
      <w:tr w14:paraId="0865B7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E66B03">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6F10AAF2">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4D70C48C">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6AB18A8">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977FB">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A98AE61">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54089A3">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751995CE">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2CD9D27">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D0AEB82">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7ADE58D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0E01EF">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A7CB6F2">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58A1EE">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B460E32">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78D05C6">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64EB194">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B69A1EB">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8CD6DB">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5C839378">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340A7D">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6385C169">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CADD747">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5154A1">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186F08">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547D088E">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0A7C9D9">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65FEE41E">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1AD4C8E">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1A16CD">
            <w:pPr>
              <w:widowControl/>
              <w:jc w:val="center"/>
              <w:rPr>
                <w:rFonts w:ascii="黑体" w:hAnsi="黑体" w:eastAsia="黑体"/>
              </w:rPr>
            </w:pPr>
            <w:r>
              <w:rPr>
                <w:rFonts w:ascii="黑体" w:hAnsi="黑体" w:eastAsia="黑体"/>
                <w:kern w:val="0"/>
                <w:sz w:val="20"/>
                <w:szCs w:val="20"/>
              </w:rPr>
              <w:t>总计</w:t>
            </w:r>
          </w:p>
        </w:tc>
      </w:tr>
      <w:tr w14:paraId="0C1D06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254460">
            <w:pPr>
              <w:widowControl/>
              <w:spacing w:after="180"/>
              <w:jc w:val="center"/>
              <w:rPr>
                <w:rFonts w:hint="default"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F5F5D2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423733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096727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D5BB90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CB33785">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254694C">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1E779E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CFA49B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DC7567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7BFC0EB">
            <w:pPr>
              <w:widowControl/>
              <w:spacing w:after="180"/>
              <w:jc w:val="center"/>
              <w:rPr>
                <w:rFonts w:hint="default"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A32526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6C3BEB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46A2E0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133FD8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073DA6B0">
      <w:pPr>
        <w:widowControl/>
        <w:jc w:val="left"/>
        <w:rPr>
          <w:rFonts w:hint="eastAsia" w:ascii="仿宋_GB2312" w:hAnsi="Calibri" w:eastAsia="仿宋_GB2312" w:cs="Calibri"/>
          <w:color w:val="FF0000"/>
          <w:kern w:val="0"/>
          <w:szCs w:val="21"/>
          <w:lang w:val="en-US" w:eastAsia="zh-CN"/>
        </w:rPr>
      </w:pPr>
    </w:p>
    <w:p w14:paraId="5F45B7FA">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2"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18198E1C">
      <w:pPr>
        <w:keepNext w:val="0"/>
        <w:keepLines w:val="0"/>
        <w:pageBreakBefore w:val="0"/>
        <w:kinsoku/>
        <w:wordWrap/>
        <w:overflowPunct/>
        <w:topLinePunct w:val="0"/>
        <w:autoSpaceDN/>
        <w:bidi w:val="0"/>
        <w:adjustRightInd/>
        <w:snapToGrid/>
        <w:spacing w:line="582" w:lineRule="exact"/>
        <w:ind w:firstLine="640" w:firstLineChars="200"/>
        <w:textAlignment w:val="auto"/>
      </w:pPr>
      <w:r>
        <w:rPr>
          <w:rFonts w:hint="eastAsia" w:ascii="Times New Roman" w:hAnsi="Times New Roman" w:eastAsia="楷体_GB2312" w:cs="楷体_GB2312"/>
          <w:color w:val="auto"/>
          <w:sz w:val="32"/>
          <w:szCs w:val="32"/>
          <w:lang w:val="en-US" w:eastAsia="zh-CN"/>
        </w:rPr>
        <w:t>（一）主要问题</w:t>
      </w:r>
    </w:p>
    <w:p w14:paraId="45B015E1">
      <w:pPr>
        <w:keepNext w:val="0"/>
        <w:keepLines w:val="0"/>
        <w:pageBreakBefore w:val="0"/>
        <w:kinsoku/>
        <w:wordWrap/>
        <w:overflowPunct/>
        <w:topLinePunct w:val="0"/>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2023年，政务公开工作虽取得了一定进展，</w:t>
      </w:r>
      <w:r>
        <w:rPr>
          <w:rFonts w:hint="eastAsia" w:ascii="Times New Roman" w:hAnsi="Times New Roman" w:eastAsia="仿宋_GB2312" w:cs="仿宋_GB2312"/>
          <w:color w:val="auto"/>
          <w:sz w:val="32"/>
          <w:szCs w:val="32"/>
          <w:lang w:val="en-US" w:eastAsia="zh-CN"/>
        </w:rPr>
        <w:t>但整体水平与公众期望相比仍有一定差距，</w:t>
      </w:r>
      <w:r>
        <w:rPr>
          <w:rFonts w:hint="eastAsia" w:ascii="仿宋_GB2312" w:hAnsi="仿宋_GB2312" w:eastAsia="仿宋_GB2312" w:cs="仿宋_GB2312"/>
          <w:color w:val="auto"/>
          <w:sz w:val="32"/>
          <w:szCs w:val="32"/>
          <w:lang w:val="en-US" w:eastAsia="zh-CN"/>
        </w:rPr>
        <w:t>仍存在政务新媒体发挥作用不显著、政民互动效果不深入、错敏词时有出现、政策解读形式单一等问题。</w:t>
      </w:r>
    </w:p>
    <w:p w14:paraId="1E49852C">
      <w:pPr>
        <w:keepNext w:val="0"/>
        <w:keepLines w:val="0"/>
        <w:pageBreakBefore w:val="0"/>
        <w:numPr>
          <w:ilvl w:val="0"/>
          <w:numId w:val="3"/>
        </w:numPr>
        <w:kinsoku/>
        <w:wordWrap/>
        <w:overflowPunct/>
        <w:topLinePunct w:val="0"/>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改进措施</w:t>
      </w:r>
    </w:p>
    <w:p w14:paraId="73EB40B9">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一是优化主动公开内容。健全政府信息动态更新调整机制，对照上级工作要求及管委重点工作，动态调整《高区主动公开基本目录》，科学调整网站栏目，及时更新信息内容，对涉及民生、住房、医疗、重大项目规划及实施等涉及群众生活及企业发展的重点领域信息要及时公开，创新公开形式，力求使公开的信息更贴近公众、方便群众。按年度对未公开的政府信息进行评估，对因情势变化可以公开的及时予以公开，对失效、废止的政府信息定期清理，及时公开清理结果。</w:t>
      </w:r>
    </w:p>
    <w:p w14:paraId="1D1764E1">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二是优化依申请工作办理。畅通依申请公开受理渠道，用好依申请公开线上办理系统，确保按时限依法依规对申请人作出答复。完善依申请公开源头化解机制，通过沟通协商、主动公开等方式解决申请人诉求问题。对涉及多个部门或地方的申请事项，加强部门联动、会商协调，减少因政务信息公开引发的行政复议和行政诉讼风险。</w:t>
      </w:r>
    </w:p>
    <w:p w14:paraId="59579F89">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三是推动政务新媒体建设规范化。严格执行内容发布审核制度，坚持分级分类审核，避免出现政务新媒体功能定位不清、信息质量不高、审核把关不严、管理底数不清等问题。加大新媒体备案审查力度，杜绝未报备即上线启用的情况，严格落实主体责任、确定专人运维，确保各部门政务新媒体安全有序运行。</w:t>
      </w:r>
    </w:p>
    <w:p w14:paraId="09C6FA5A">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四是提升政策解读多样性。明确政策解读工作要求，包括解读主体、解读程序、解读范围、解读形式、解读内容等，提高政策解读工作的规范化水平，增强政策把握、解读要点和回应引导能力，广泛运用在线访谈、视频解读、新闻发布会等政策解读形式，凡主动公开的政策性文件均配发解读，增强文件可读性。</w:t>
      </w:r>
    </w:p>
    <w:p w14:paraId="31361564">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048DADBC">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82" w:lineRule="exact"/>
        <w:ind w:left="0" w:right="0" w:firstLine="645"/>
        <w:jc w:val="both"/>
        <w:textAlignment w:val="auto"/>
        <w:rPr>
          <w:rFonts w:hint="eastAsia"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w:t>
      </w:r>
      <w:r>
        <w:rPr>
          <w:rFonts w:hint="eastAsia" w:ascii="Times New Roman" w:hAnsi="Times New Roman" w:eastAsia="仿宋_GB2312" w:cs="仿宋_GB2312"/>
          <w:color w:val="auto"/>
          <w:sz w:val="32"/>
          <w:szCs w:val="32"/>
          <w:lang w:val="en-US" w:eastAsia="zh-CN"/>
        </w:rPr>
        <w:t>高区管委会无收取政府信息公开处理费相关情况。</w:t>
      </w:r>
    </w:p>
    <w:p w14:paraId="2B542206">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82"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仿宋_GB2312"/>
          <w:color w:val="auto"/>
          <w:sz w:val="32"/>
          <w:szCs w:val="32"/>
          <w:lang w:val="en-US" w:eastAsia="zh-CN"/>
        </w:rPr>
        <w:t>高区管委会无人大代表、政协委员提案。</w:t>
      </w:r>
    </w:p>
    <w:p w14:paraId="350A3724">
      <w:pPr>
        <w:keepNext w:val="0"/>
        <w:keepLines w:val="0"/>
        <w:pageBreakBefore w:val="0"/>
        <w:widowControl w:val="0"/>
        <w:kinsoku/>
        <w:wordWrap/>
        <w:overflowPunct/>
        <w:topLinePunct w:val="0"/>
        <w:autoSpaceDE/>
        <w:autoSpaceDN/>
        <w:bidi w:val="0"/>
        <w:adjustRightInd/>
        <w:snapToGrid/>
        <w:spacing w:line="582" w:lineRule="exact"/>
        <w:ind w:firstLine="646" w:firstLineChars="202"/>
        <w:textAlignment w:val="auto"/>
        <w:rPr>
          <w:rFonts w:hint="default"/>
          <w:lang w:val="en-US" w:eastAsia="zh-CN"/>
        </w:rPr>
      </w:pPr>
      <w:r>
        <w:rPr>
          <w:rFonts w:hint="eastAsia" w:ascii="Times New Roman" w:hAnsi="Times New Roman" w:eastAsia="仿宋_GB2312" w:cs="Times New Roman"/>
          <w:sz w:val="32"/>
          <w:szCs w:val="32"/>
          <w:lang w:val="en-US" w:eastAsia="zh-CN"/>
        </w:rPr>
        <w:t>3.落实上级年度政务公开工作要点情况：认真贯彻落实市政务公开工作要点，围绕大抓经济、社区治理、重点民生等领域，丰富公开途径，拓展公开范围，提高公开实效。指导区直各部门、各镇街进一步健全工作机制、强化责任分工，定期调度重点工作进展情况，逐项推动落实。</w:t>
      </w:r>
    </w:p>
    <w:p w14:paraId="6693E54F">
      <w:pPr>
        <w:keepNext w:val="0"/>
        <w:keepLines w:val="0"/>
        <w:pageBreakBefore w:val="0"/>
        <w:widowControl w:val="0"/>
        <w:kinsoku/>
        <w:wordWrap/>
        <w:overflowPunct/>
        <w:topLinePunct w:val="0"/>
        <w:autoSpaceDE/>
        <w:autoSpaceDN/>
        <w:bidi w:val="0"/>
        <w:adjustRightInd/>
        <w:snapToGrid/>
        <w:spacing w:line="582" w:lineRule="exact"/>
        <w:ind w:firstLine="646" w:firstLineChars="202"/>
        <w:textAlignment w:val="auto"/>
        <w:rPr>
          <w:rFonts w:hint="default" w:ascii="仿宋_GB2312" w:hAnsi="仿宋_GB2312" w:eastAsia="仿宋_GB2312" w:cs="仿宋_GB2312"/>
          <w:sz w:val="32"/>
          <w:szCs w:val="32"/>
          <w:lang w:val="en-US"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eastAsia" w:ascii="Times New Roman" w:hAnsi="Times New Roman" w:eastAsia="仿宋_GB2312" w:cs="仿宋_GB2312"/>
          <w:color w:val="auto"/>
          <w:sz w:val="32"/>
          <w:szCs w:val="32"/>
          <w:lang w:val="en-US" w:eastAsia="zh-CN"/>
        </w:rPr>
        <w:t>一是广泛开展线下政民互动。组织区内14个部门、单位及3个镇街开展9场“阳光透明，公开入威”政府开放日活动，</w:t>
      </w:r>
      <w:r>
        <w:rPr>
          <w:rFonts w:hint="eastAsia" w:ascii="Times New Roman" w:hAnsi="Times New Roman" w:eastAsia="仿宋_GB2312" w:cs="仿宋_GB2312"/>
          <w:sz w:val="32"/>
          <w:szCs w:val="32"/>
          <w:lang w:val="en-US" w:eastAsia="zh-CN"/>
        </w:rPr>
        <w:t>邀请企业代表及群众524人次参加，</w:t>
      </w:r>
      <w:r>
        <w:rPr>
          <w:rFonts w:hint="eastAsia" w:ascii="Times New Roman" w:hAnsi="Times New Roman" w:eastAsia="仿宋_GB2312" w:cs="仿宋_GB2312"/>
          <w:color w:val="auto"/>
          <w:sz w:val="32"/>
          <w:szCs w:val="32"/>
          <w:lang w:val="en-US" w:eastAsia="zh-CN"/>
        </w:rPr>
        <w:t>通过丰富多彩的形式，</w:t>
      </w:r>
      <w:r>
        <w:rPr>
          <w:rFonts w:hint="eastAsia" w:ascii="Times New Roman" w:hAnsi="Times New Roman" w:eastAsia="仿宋_GB2312" w:cs="仿宋_GB2312"/>
          <w:sz w:val="32"/>
          <w:szCs w:val="32"/>
          <w:lang w:val="en-US" w:eastAsia="zh-CN"/>
        </w:rPr>
        <w:t>推动政务服务、改善民生等领域与政务公开深度融合，征集意见建议168条并采纳102条，做好意见建议的办理和反馈工作，搭建政府与企业、群众之间沟通的桥梁，</w:t>
      </w:r>
      <w:r>
        <w:rPr>
          <w:rFonts w:hint="default" w:ascii="Times New Roman" w:hAnsi="Times New Roman" w:eastAsia="仿宋_GB2312" w:cs="Times New Roman"/>
          <w:sz w:val="32"/>
          <w:szCs w:val="32"/>
          <w:lang w:val="en-US" w:eastAsia="zh-CN"/>
        </w:rPr>
        <w:t>促进政务公开“零距离”</w:t>
      </w:r>
      <w:r>
        <w:rPr>
          <w:rFonts w:hint="eastAsia" w:ascii="Times New Roman" w:hAnsi="Times New Roman" w:eastAsia="仿宋_GB2312" w:cs="仿宋_GB2312"/>
          <w:sz w:val="32"/>
          <w:szCs w:val="32"/>
          <w:lang w:val="en-US" w:eastAsia="zh-CN"/>
        </w:rPr>
        <w:t>。二是深度谋划政务公开专区建设。以数字政务建设为契机，深入推进政务公开“集成化、高效化、智慧化”，高标准打造综合性专区，</w:t>
      </w:r>
      <w:r>
        <w:rPr>
          <w:rFonts w:hint="eastAsia" w:ascii="Times New Roman" w:hAnsi="Times New Roman" w:eastAsia="仿宋_GB2312" w:cs="仿宋_GB2312"/>
          <w:color w:val="auto"/>
          <w:sz w:val="32"/>
          <w:szCs w:val="32"/>
          <w:highlight w:val="none"/>
          <w:lang w:val="en-US" w:eastAsia="zh-CN"/>
        </w:rPr>
        <w:t>通过新媒体开辟“惠企便民政策服务包”专栏，在进一步推动营商环境建设的同时，助推“群众跑腿”向“数据直达”转变。三是在全市首创“门口政务e站”。在全区243个小区3800栋楼约15000个单元设置“门口政务e站”，“一码集成”政务服务、公共服务、便民服务等适合“掌上办”“网上办”的100多个事项，通过群众扫描“门口政务e站”二维码，直观查看政务地图、政策法规、办事指南等，将政务服务由“最后一公里”缩短到“指尖一厘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72374"/>
    <w:multiLevelType w:val="singleLevel"/>
    <w:tmpl w:val="89672374"/>
    <w:lvl w:ilvl="0" w:tentative="0">
      <w:start w:val="2"/>
      <w:numFmt w:val="chineseCounting"/>
      <w:suff w:val="nothing"/>
      <w:lvlText w:val="（%1）"/>
      <w:lvlJc w:val="left"/>
      <w:rPr>
        <w:rFonts w:hint="eastAsia"/>
      </w:rPr>
    </w:lvl>
  </w:abstractNum>
  <w:abstractNum w:abstractNumId="1">
    <w:nsid w:val="BA240ADC"/>
    <w:multiLevelType w:val="singleLevel"/>
    <w:tmpl w:val="BA240ADC"/>
    <w:lvl w:ilvl="0" w:tentative="0">
      <w:start w:val="4"/>
      <w:numFmt w:val="chineseCounting"/>
      <w:suff w:val="nothing"/>
      <w:lvlText w:val="%1、"/>
      <w:lvlJc w:val="left"/>
      <w:rPr>
        <w:rFonts w:hint="eastAsia"/>
      </w:rPr>
    </w:lvl>
  </w:abstractNum>
  <w:abstractNum w:abstractNumId="2">
    <w:nsid w:val="2BEA31A8"/>
    <w:multiLevelType w:val="singleLevel"/>
    <w:tmpl w:val="2BEA31A8"/>
    <w:lvl w:ilvl="0" w:tentative="0">
      <w:start w:val="5"/>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dkYWQ5YzJlZWNhZDcyMjczYWQ1MTYxODZiMmYyYTMifQ=="/>
  </w:docVars>
  <w:rsids>
    <w:rsidRoot w:val="11AF18C8"/>
    <w:rsid w:val="08D157AC"/>
    <w:rsid w:val="0A0A271F"/>
    <w:rsid w:val="11AF18C8"/>
    <w:rsid w:val="172E4537"/>
    <w:rsid w:val="1A6A77C7"/>
    <w:rsid w:val="1FF75C9D"/>
    <w:rsid w:val="21E9640B"/>
    <w:rsid w:val="274C7809"/>
    <w:rsid w:val="3B9748CD"/>
    <w:rsid w:val="3CB9309C"/>
    <w:rsid w:val="464F74E8"/>
    <w:rsid w:val="4D5A0420"/>
    <w:rsid w:val="50402247"/>
    <w:rsid w:val="511E6463"/>
    <w:rsid w:val="54F23AC6"/>
    <w:rsid w:val="56F344A5"/>
    <w:rsid w:val="685F3791"/>
    <w:rsid w:val="68C9088B"/>
    <w:rsid w:val="6A9660C9"/>
    <w:rsid w:val="6C7C7FF0"/>
    <w:rsid w:val="72EB7C38"/>
    <w:rsid w:val="77181135"/>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Normal Indent"/>
    <w:basedOn w:val="1"/>
    <w:autoRedefine/>
    <w:unhideWhenUsed/>
    <w:qFormat/>
    <w:uiPriority w:val="99"/>
    <w:pPr>
      <w:ind w:firstLine="420" w:firstLineChars="200"/>
    </w:p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1465</Words>
  <Characters>1591</Characters>
  <Lines>0</Lines>
  <Paragraphs>0</Paragraphs>
  <TotalTime>1</TotalTime>
  <ScaleCrop>false</ScaleCrop>
  <LinksUpToDate>false</LinksUpToDate>
  <CharactersWithSpaces>1591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╰懂的人。</cp:lastModifiedBy>
  <cp:lastPrinted>2023-01-16T09:08:00Z</cp:lastPrinted>
  <dcterms:modified xsi:type="dcterms:W3CDTF">2026-01-15T01:50:34Z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E69FC135B6704485BACA57740AE2D712</vt:lpwstr>
  </property>
  <property fmtid="{D5CDD505-2E9C-101B-9397-08002B2CF9AE}" pid="4" name="KSOTemplateDocerSaveRecord">
    <vt:lpwstr>eyJoZGlkIjoiYmVlOGVkMzlhNmVjZGRkNzZkNzM0NmVmYWUzYzJkMTMiLCJ1c2VySWQiOiI0NjE4OTkwMjQifQ==</vt:lpwstr>
  </property>
</Properties>
</file>