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0" w:lineRule="auto"/>
        <w:ind w:left="1531"/>
        <w:outlineLvl w:val="0"/>
        <w:rPr>
          <w:rFonts w:hint="eastAsia"/>
          <w:b/>
          <w:bCs/>
          <w:spacing w:val="-4"/>
          <w:sz w:val="28"/>
          <w:szCs w:val="28"/>
          <w:lang w:eastAsia="zh-CN"/>
        </w:rPr>
      </w:pPr>
    </w:p>
    <w:p>
      <w:pPr>
        <w:pStyle w:val="2"/>
        <w:spacing w:before="56" w:line="220" w:lineRule="auto"/>
        <w:ind w:firstLine="272" w:firstLineChars="100"/>
        <w:jc w:val="center"/>
        <w:outlineLvl w:val="0"/>
        <w:rPr>
          <w:rFonts w:hint="eastAsia" w:ascii="黑体" w:hAnsi="黑体" w:eastAsia="黑体" w:cs="黑体"/>
          <w:b w:val="0"/>
          <w:bCs w:val="0"/>
          <w:color w:val="000000" w:themeColor="text1"/>
          <w:sz w:val="28"/>
          <w:szCs w:val="28"/>
          <w14:textFill>
            <w14:solidFill>
              <w14:schemeClr w14:val="tx1"/>
            </w14:solidFill>
          </w14:textFill>
        </w:rPr>
      </w:pPr>
      <w:r>
        <w:rPr>
          <w:rFonts w:hint="eastAsia" w:ascii="黑体" w:hAnsi="黑体" w:eastAsia="黑体" w:cs="黑体"/>
          <w:b w:val="0"/>
          <w:bCs w:val="0"/>
          <w:color w:val="000000" w:themeColor="text1"/>
          <w:spacing w:val="-4"/>
          <w:sz w:val="28"/>
          <w:szCs w:val="28"/>
          <w:lang w:eastAsia="zh-CN"/>
          <w14:textFill>
            <w14:solidFill>
              <w14:schemeClr w14:val="tx1"/>
            </w14:solidFill>
          </w14:textFill>
        </w:rPr>
        <w:t>威海火炬高技术产业开发区</w:t>
      </w:r>
      <w:r>
        <w:rPr>
          <w:rFonts w:hint="eastAsia" w:ascii="黑体" w:hAnsi="黑体" w:eastAsia="黑体" w:cs="黑体"/>
          <w:b w:val="0"/>
          <w:bCs w:val="0"/>
          <w:color w:val="000000" w:themeColor="text1"/>
          <w:spacing w:val="-4"/>
          <w:sz w:val="28"/>
          <w:szCs w:val="28"/>
          <w14:textFill>
            <w14:solidFill>
              <w14:schemeClr w14:val="tx1"/>
            </w14:solidFill>
          </w14:textFill>
        </w:rPr>
        <w:t>涂料产品质量监督抽查实施细则</w:t>
      </w:r>
    </w:p>
    <w:p>
      <w:pPr>
        <w:pStyle w:val="2"/>
        <w:spacing w:before="211" w:line="220" w:lineRule="auto"/>
        <w:ind w:left="3306"/>
        <w:outlineLvl w:val="0"/>
        <w:rPr>
          <w:rFonts w:hint="eastAsia" w:ascii="黑体" w:hAnsi="黑体" w:eastAsia="黑体" w:cs="黑体"/>
          <w:b w:val="0"/>
          <w:bCs w:val="0"/>
          <w:color w:val="000000" w:themeColor="text1"/>
          <w:sz w:val="28"/>
          <w:szCs w:val="28"/>
          <w14:textFill>
            <w14:solidFill>
              <w14:schemeClr w14:val="tx1"/>
            </w14:solidFill>
          </w14:textFill>
        </w:rPr>
      </w:pPr>
      <w:r>
        <w:rPr>
          <w:rFonts w:hint="eastAsia" w:ascii="黑体" w:hAnsi="黑体" w:eastAsia="黑体" w:cs="黑体"/>
          <w:b w:val="0"/>
          <w:bCs w:val="0"/>
          <w:color w:val="000000" w:themeColor="text1"/>
          <w:spacing w:val="-7"/>
          <w:sz w:val="28"/>
          <w:szCs w:val="28"/>
          <w14:textFill>
            <w14:solidFill>
              <w14:schemeClr w14:val="tx1"/>
            </w14:solidFill>
          </w14:textFill>
        </w:rPr>
        <w:t>（2024</w:t>
      </w:r>
      <w:r>
        <w:rPr>
          <w:rFonts w:hint="eastAsia" w:ascii="黑体" w:hAnsi="黑体" w:eastAsia="黑体" w:cs="黑体"/>
          <w:b w:val="0"/>
          <w:bCs w:val="0"/>
          <w:color w:val="000000" w:themeColor="text1"/>
          <w:spacing w:val="-52"/>
          <w:sz w:val="28"/>
          <w:szCs w:val="28"/>
          <w14:textFill>
            <w14:solidFill>
              <w14:schemeClr w14:val="tx1"/>
            </w14:solidFill>
          </w14:textFill>
        </w:rPr>
        <w:t xml:space="preserve"> </w:t>
      </w:r>
      <w:r>
        <w:rPr>
          <w:rFonts w:hint="eastAsia" w:ascii="黑体" w:hAnsi="黑体" w:eastAsia="黑体" w:cs="黑体"/>
          <w:b w:val="0"/>
          <w:bCs w:val="0"/>
          <w:color w:val="000000" w:themeColor="text1"/>
          <w:spacing w:val="-7"/>
          <w:sz w:val="28"/>
          <w:szCs w:val="28"/>
          <w14:textFill>
            <w14:solidFill>
              <w14:schemeClr w14:val="tx1"/>
            </w14:solidFill>
          </w14:textFill>
        </w:rPr>
        <w:t>年版）</w:t>
      </w:r>
    </w:p>
    <w:p>
      <w:pPr>
        <w:pStyle w:val="2"/>
        <w:spacing w:before="56" w:line="22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r>
        <w:rPr>
          <w:rFonts w:hint="eastAsia" w:ascii="黑体" w:hAnsi="黑体" w:eastAsia="黑体" w:cs="黑体"/>
          <w:b w:val="0"/>
          <w:bCs w:val="0"/>
          <w:color w:val="000000" w:themeColor="text1"/>
          <w:spacing w:val="-4"/>
          <w:sz w:val="20"/>
          <w:szCs w:val="20"/>
          <w14:textFill>
            <w14:solidFill>
              <w14:schemeClr w14:val="tx1"/>
            </w14:solidFill>
          </w14:textFill>
        </w:rPr>
        <w:t>1 抽样</w:t>
      </w:r>
    </w:p>
    <w:p>
      <w:pPr>
        <w:pStyle w:val="2"/>
        <w:spacing w:line="24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pPr>
      <w:r>
        <w:rPr>
          <w:spacing w:val="3"/>
        </w:rPr>
        <w:t>1.1</w:t>
      </w:r>
      <w:r>
        <w:rPr>
          <w:spacing w:val="-41"/>
        </w:rPr>
        <w:t xml:space="preserve"> </w:t>
      </w:r>
      <w:r>
        <w:rPr>
          <w:spacing w:val="3"/>
        </w:rPr>
        <w:t>抽样方法</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firstLine="432" w:firstLineChars="200"/>
        <w:textAlignment w:val="baseline"/>
      </w:pPr>
      <w:r>
        <w:rPr>
          <w:spacing w:val="8"/>
          <w:position w:val="20"/>
        </w:rPr>
        <w:t>以随机抽样的方式在被抽样</w:t>
      </w:r>
      <w:bookmarkStart w:id="0" w:name="_GoBack"/>
      <w:bookmarkEnd w:id="0"/>
      <w:r>
        <w:rPr>
          <w:spacing w:val="8"/>
          <w:position w:val="20"/>
        </w:rPr>
        <w:t>销售者的待销产品中抽取。</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2" w:firstLineChars="200"/>
        <w:textAlignment w:val="baseline"/>
      </w:pPr>
      <w:r>
        <w:rPr>
          <w:spacing w:val="8"/>
        </w:rPr>
        <w:t>随机数一般可使用随机数表等方法产生。</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pPr>
      <w:r>
        <w:rPr>
          <w:spacing w:val="3"/>
        </w:rPr>
        <w:t>1.2</w:t>
      </w:r>
      <w:r>
        <w:rPr>
          <w:spacing w:val="-41"/>
        </w:rPr>
        <w:t xml:space="preserve"> </w:t>
      </w:r>
      <w:r>
        <w:rPr>
          <w:spacing w:val="3"/>
        </w:rPr>
        <w:t>抽样基数</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firstLine="432" w:firstLineChars="200"/>
        <w:textAlignment w:val="baseline"/>
      </w:pPr>
      <w:r>
        <w:rPr>
          <w:spacing w:val="8"/>
        </w:rPr>
        <w:t>抽查样品基数满足抽样数量即可。</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pPr>
      <w:r>
        <w:rPr>
          <w:spacing w:val="3"/>
        </w:rPr>
        <w:t>1.3</w:t>
      </w:r>
      <w:r>
        <w:rPr>
          <w:spacing w:val="-41"/>
        </w:rPr>
        <w:t xml:space="preserve"> </w:t>
      </w:r>
      <w:r>
        <w:rPr>
          <w:spacing w:val="3"/>
        </w:rPr>
        <w:t>抽样范围</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jc w:val="both"/>
        <w:textAlignment w:val="baseline"/>
        <w:rPr>
          <w:rFonts w:hint="eastAsia" w:eastAsia="宋体"/>
          <w:lang w:eastAsia="zh-CN"/>
        </w:rPr>
      </w:pPr>
      <w:r>
        <w:rPr>
          <w:spacing w:val="9"/>
          <w:position w:val="15"/>
        </w:rPr>
        <w:t>抽查产品种类包括合成树脂乳液内墙涂料、合成树脂乳液外墙涂料</w:t>
      </w:r>
      <w:r>
        <w:rPr>
          <w:rFonts w:hint="eastAsia"/>
          <w:spacing w:val="9"/>
          <w:position w:val="15"/>
          <w:lang w:eastAsia="zh-CN"/>
        </w:rPr>
        <w:t>。</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pPr>
      <w:r>
        <w:rPr>
          <w:spacing w:val="3"/>
        </w:rPr>
        <w:t>1.4</w:t>
      </w:r>
      <w:r>
        <w:rPr>
          <w:spacing w:val="-41"/>
        </w:rPr>
        <w:t xml:space="preserve"> </w:t>
      </w:r>
      <w:r>
        <w:rPr>
          <w:spacing w:val="3"/>
        </w:rPr>
        <w:t>抽样数量</w:t>
      </w:r>
    </w:p>
    <w:p>
      <w:pPr>
        <w:pStyle w:val="2"/>
        <w:spacing w:line="240" w:lineRule="auto"/>
        <w:ind w:left="0"/>
        <w:jc w:val="center"/>
      </w:pPr>
      <w:r>
        <w:rPr>
          <w:b/>
          <w:bCs/>
          <w:spacing w:val="5"/>
        </w:rPr>
        <w:t>表</w:t>
      </w:r>
      <w:r>
        <w:rPr>
          <w:spacing w:val="-12"/>
        </w:rPr>
        <w:t xml:space="preserve"> </w:t>
      </w:r>
      <w:r>
        <w:rPr>
          <w:b/>
          <w:bCs/>
          <w:spacing w:val="5"/>
        </w:rPr>
        <w:t>1</w:t>
      </w:r>
      <w:r>
        <w:rPr>
          <w:spacing w:val="22"/>
        </w:rPr>
        <w:t xml:space="preserve"> </w:t>
      </w:r>
      <w:r>
        <w:rPr>
          <w:b/>
          <w:bCs/>
          <w:spacing w:val="5"/>
        </w:rPr>
        <w:t>涂料产品抽样数</w:t>
      </w:r>
    </w:p>
    <w:p>
      <w:pPr>
        <w:spacing w:line="118" w:lineRule="exact"/>
      </w:pPr>
    </w:p>
    <w:tbl>
      <w:tblPr>
        <w:tblStyle w:val="5"/>
        <w:tblW w:w="8324" w:type="dxa"/>
        <w:tblInd w:w="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9"/>
        <w:gridCol w:w="1980"/>
        <w:gridCol w:w="56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 w:hRule="atLeast"/>
        </w:trPr>
        <w:tc>
          <w:tcPr>
            <w:tcW w:w="729" w:type="dxa"/>
            <w:vAlign w:val="top"/>
          </w:tcPr>
          <w:p>
            <w:pPr>
              <w:pStyle w:val="6"/>
              <w:spacing w:before="151" w:line="229" w:lineRule="auto"/>
              <w:ind w:left="290"/>
            </w:pPr>
            <w:r>
              <w:rPr>
                <w:spacing w:val="5"/>
              </w:rPr>
              <w:t>序号</w:t>
            </w:r>
          </w:p>
        </w:tc>
        <w:tc>
          <w:tcPr>
            <w:tcW w:w="1980" w:type="dxa"/>
            <w:vAlign w:val="top"/>
          </w:tcPr>
          <w:p>
            <w:pPr>
              <w:pStyle w:val="6"/>
              <w:spacing w:before="150" w:line="228" w:lineRule="auto"/>
              <w:ind w:left="550"/>
            </w:pPr>
            <w:r>
              <w:rPr>
                <w:spacing w:val="7"/>
              </w:rPr>
              <w:t>产品种类</w:t>
            </w:r>
          </w:p>
        </w:tc>
        <w:tc>
          <w:tcPr>
            <w:tcW w:w="5615" w:type="dxa"/>
            <w:vAlign w:val="top"/>
          </w:tcPr>
          <w:p>
            <w:pPr>
              <w:pStyle w:val="6"/>
              <w:spacing w:before="150" w:line="228" w:lineRule="auto"/>
              <w:ind w:left="2284"/>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729" w:type="dxa"/>
            <w:vAlign w:val="top"/>
          </w:tcPr>
          <w:p>
            <w:pPr>
              <w:spacing w:line="329" w:lineRule="auto"/>
              <w:rPr>
                <w:rFonts w:ascii="Arial"/>
                <w:color w:val="000000" w:themeColor="text1"/>
                <w:sz w:val="21"/>
                <w14:textFill>
                  <w14:solidFill>
                    <w14:schemeClr w14:val="tx1"/>
                  </w14:solidFill>
                </w14:textFill>
              </w:rPr>
            </w:pPr>
          </w:p>
          <w:p>
            <w:pPr>
              <w:pStyle w:val="6"/>
              <w:spacing w:before="65" w:line="189" w:lineRule="auto"/>
              <w:ind w:left="464"/>
              <w:rPr>
                <w:color w:val="000000" w:themeColor="text1"/>
                <w14:textFill>
                  <w14:solidFill>
                    <w14:schemeClr w14:val="tx1"/>
                  </w14:solidFill>
                </w14:textFill>
              </w:rPr>
            </w:pPr>
            <w:r>
              <w:rPr>
                <w:color w:val="000000" w:themeColor="text1"/>
                <w14:textFill>
                  <w14:solidFill>
                    <w14:schemeClr w14:val="tx1"/>
                  </w14:solidFill>
                </w14:textFill>
              </w:rPr>
              <w:t>1</w:t>
            </w:r>
          </w:p>
        </w:tc>
        <w:tc>
          <w:tcPr>
            <w:tcW w:w="1980" w:type="dxa"/>
            <w:vAlign w:val="top"/>
          </w:tcPr>
          <w:p>
            <w:pPr>
              <w:pStyle w:val="6"/>
              <w:spacing w:before="208" w:line="258" w:lineRule="auto"/>
              <w:ind w:left="761" w:right="127" w:hanging="630"/>
              <w:rPr>
                <w:color w:val="000000" w:themeColor="text1"/>
                <w14:textFill>
                  <w14:solidFill>
                    <w14:schemeClr w14:val="tx1"/>
                  </w14:solidFill>
                </w14:textFill>
              </w:rPr>
            </w:pPr>
            <w:r>
              <w:rPr>
                <w:color w:val="000000" w:themeColor="text1"/>
                <w:spacing w:val="8"/>
                <w14:textFill>
                  <w14:solidFill>
                    <w14:schemeClr w14:val="tx1"/>
                  </w14:solidFill>
                </w14:textFill>
              </w:rPr>
              <w:t>合成树脂乳液内墙</w:t>
            </w:r>
            <w:r>
              <w:rPr>
                <w:color w:val="000000" w:themeColor="text1"/>
                <w:spacing w:val="3"/>
                <w14:textFill>
                  <w14:solidFill>
                    <w14:schemeClr w14:val="tx1"/>
                  </w14:solidFill>
                </w14:textFill>
              </w:rPr>
              <w:t>涂料</w:t>
            </w:r>
          </w:p>
        </w:tc>
        <w:tc>
          <w:tcPr>
            <w:tcW w:w="5615" w:type="dxa"/>
            <w:vAlign w:val="top"/>
          </w:tcPr>
          <w:p>
            <w:pPr>
              <w:pStyle w:val="6"/>
              <w:spacing w:before="51" w:line="240" w:lineRule="auto"/>
              <w:ind w:left="116" w:right="108" w:hanging="4"/>
              <w:jc w:val="both"/>
              <w:rPr>
                <w:color w:val="000000" w:themeColor="text1"/>
                <w14:textFill>
                  <w14:solidFill>
                    <w14:schemeClr w14:val="tx1"/>
                  </w14:solidFill>
                </w14:textFill>
              </w:rPr>
            </w:pPr>
            <w:r>
              <w:rPr>
                <w:color w:val="000000" w:themeColor="text1"/>
                <w:spacing w:val="8"/>
                <w14:textFill>
                  <w14:solidFill>
                    <w14:schemeClr w14:val="tx1"/>
                  </w14:solidFill>
                </w14:textFill>
              </w:rPr>
              <w:t>抽取不少于</w:t>
            </w:r>
            <w:r>
              <w:rPr>
                <w:color w:val="000000" w:themeColor="text1"/>
                <w:spacing w:val="-35"/>
                <w14:textFill>
                  <w14:solidFill>
                    <w14:schemeClr w14:val="tx1"/>
                  </w14:solidFill>
                </w14:textFill>
              </w:rPr>
              <w:t xml:space="preserve"> </w:t>
            </w:r>
            <w:r>
              <w:rPr>
                <w:color w:val="000000" w:themeColor="text1"/>
                <w:spacing w:val="8"/>
                <w14:textFill>
                  <w14:solidFill>
                    <w14:schemeClr w14:val="tx1"/>
                  </w14:solidFill>
                </w14:textFill>
              </w:rPr>
              <w:t>6</w:t>
            </w:r>
            <w:r>
              <w:rPr>
                <w:color w:val="000000" w:themeColor="text1"/>
                <w14:textFill>
                  <w14:solidFill>
                    <w14:schemeClr w14:val="tx1"/>
                  </w14:solidFill>
                </w14:textFill>
              </w:rPr>
              <w:t>kg</w:t>
            </w:r>
            <w:r>
              <w:rPr>
                <w:color w:val="000000" w:themeColor="text1"/>
                <w:spacing w:val="-41"/>
                <w14:textFill>
                  <w14:solidFill>
                    <w14:schemeClr w14:val="tx1"/>
                  </w14:solidFill>
                </w14:textFill>
              </w:rPr>
              <w:t xml:space="preserve"> </w:t>
            </w:r>
            <w:r>
              <w:rPr>
                <w:color w:val="000000" w:themeColor="text1"/>
                <w:spacing w:val="8"/>
                <w14:textFill>
                  <w14:solidFill>
                    <w14:schemeClr w14:val="tx1"/>
                  </w14:solidFill>
                </w14:textFill>
              </w:rPr>
              <w:t>样品，其中检验样品不少于</w:t>
            </w:r>
            <w:r>
              <w:rPr>
                <w:color w:val="000000" w:themeColor="text1"/>
                <w:spacing w:val="-35"/>
                <w14:textFill>
                  <w14:solidFill>
                    <w14:schemeClr w14:val="tx1"/>
                  </w14:solidFill>
                </w14:textFill>
              </w:rPr>
              <w:t xml:space="preserve"> </w:t>
            </w:r>
            <w:r>
              <w:rPr>
                <w:color w:val="000000" w:themeColor="text1"/>
                <w:spacing w:val="8"/>
                <w14:textFill>
                  <w14:solidFill>
                    <w14:schemeClr w14:val="tx1"/>
                  </w14:solidFill>
                </w14:textFill>
              </w:rPr>
              <w:t>3</w:t>
            </w:r>
            <w:r>
              <w:rPr>
                <w:color w:val="000000" w:themeColor="text1"/>
                <w14:textFill>
                  <w14:solidFill>
                    <w14:schemeClr w14:val="tx1"/>
                  </w14:solidFill>
                </w14:textFill>
              </w:rPr>
              <w:t>kg</w:t>
            </w:r>
            <w:r>
              <w:rPr>
                <w:color w:val="000000" w:themeColor="text1"/>
                <w:spacing w:val="8"/>
                <w14:textFill>
                  <w14:solidFill>
                    <w14:schemeClr w14:val="tx1"/>
                  </w14:solidFill>
                </w14:textFill>
              </w:rPr>
              <w:t>，备用样</w:t>
            </w:r>
            <w:r>
              <w:rPr>
                <w:color w:val="000000" w:themeColor="text1"/>
                <w14:textFill>
                  <w14:solidFill>
                    <w14:schemeClr w14:val="tx1"/>
                  </w14:solidFill>
                </w14:textFill>
              </w:rPr>
              <w:t xml:space="preserve"> </w:t>
            </w:r>
            <w:r>
              <w:rPr>
                <w:color w:val="000000" w:themeColor="text1"/>
                <w:spacing w:val="7"/>
                <w14:textFill>
                  <w14:solidFill>
                    <w14:schemeClr w14:val="tx1"/>
                  </w14:solidFill>
                </w14:textFill>
              </w:rPr>
              <w:t>品不少于</w:t>
            </w:r>
            <w:r>
              <w:rPr>
                <w:color w:val="000000" w:themeColor="text1"/>
                <w:spacing w:val="-25"/>
                <w14:textFill>
                  <w14:solidFill>
                    <w14:schemeClr w14:val="tx1"/>
                  </w14:solidFill>
                </w14:textFill>
              </w:rPr>
              <w:t xml:space="preserve"> </w:t>
            </w:r>
            <w:r>
              <w:rPr>
                <w:color w:val="000000" w:themeColor="text1"/>
                <w:spacing w:val="7"/>
                <w14:textFill>
                  <w14:solidFill>
                    <w14:schemeClr w14:val="tx1"/>
                  </w14:solidFill>
                </w14:textFill>
              </w:rPr>
              <w:t>3</w:t>
            </w:r>
            <w:r>
              <w:rPr>
                <w:color w:val="000000" w:themeColor="text1"/>
                <w14:textFill>
                  <w14:solidFill>
                    <w14:schemeClr w14:val="tx1"/>
                  </w14:solidFill>
                </w14:textFill>
              </w:rPr>
              <w:t>kg</w:t>
            </w:r>
            <w:r>
              <w:rPr>
                <w:color w:val="000000" w:themeColor="text1"/>
                <w:spacing w:val="7"/>
                <w14:textFill>
                  <w14:solidFill>
                    <w14:schemeClr w14:val="tx1"/>
                  </w14:solidFill>
                </w14:textFill>
              </w:rPr>
              <w:t>。如需配套底漆，抽取底漆</w:t>
            </w:r>
            <w:r>
              <w:rPr>
                <w:color w:val="000000" w:themeColor="text1"/>
                <w:spacing w:val="-34"/>
                <w14:textFill>
                  <w14:solidFill>
                    <w14:schemeClr w14:val="tx1"/>
                  </w14:solidFill>
                </w14:textFill>
              </w:rPr>
              <w:t xml:space="preserve"> </w:t>
            </w:r>
            <w:r>
              <w:rPr>
                <w:color w:val="000000" w:themeColor="text1"/>
                <w:spacing w:val="7"/>
                <w14:textFill>
                  <w14:solidFill>
                    <w14:schemeClr w14:val="tx1"/>
                  </w14:solidFill>
                </w14:textFill>
              </w:rPr>
              <w:t>2</w:t>
            </w:r>
            <w:r>
              <w:rPr>
                <w:color w:val="000000" w:themeColor="text1"/>
                <w:spacing w:val="-40"/>
                <w14:textFill>
                  <w14:solidFill>
                    <w14:schemeClr w14:val="tx1"/>
                  </w14:solidFill>
                </w14:textFill>
              </w:rPr>
              <w:t xml:space="preserve"> </w:t>
            </w:r>
            <w:r>
              <w:rPr>
                <w:color w:val="000000" w:themeColor="text1"/>
                <w:spacing w:val="7"/>
                <w14:textFill>
                  <w14:solidFill>
                    <w14:schemeClr w14:val="tx1"/>
                  </w14:solidFill>
                </w14:textFill>
              </w:rPr>
              <w:t>份，每份不少</w:t>
            </w:r>
            <w:r>
              <w:rPr>
                <w:color w:val="000000" w:themeColor="text1"/>
                <w14:textFill>
                  <w14:solidFill>
                    <w14:schemeClr w14:val="tx1"/>
                  </w14:solidFill>
                </w14:textFill>
              </w:rPr>
              <w:t xml:space="preserve"> </w:t>
            </w:r>
            <w:r>
              <w:rPr>
                <w:color w:val="000000" w:themeColor="text1"/>
                <w:spacing w:val="8"/>
                <w14:textFill>
                  <w14:solidFill>
                    <w14:schemeClr w14:val="tx1"/>
                  </w14:solidFill>
                </w14:textFill>
              </w:rPr>
              <w:t>于</w:t>
            </w:r>
            <w:r>
              <w:rPr>
                <w:color w:val="000000" w:themeColor="text1"/>
                <w:spacing w:val="-36"/>
                <w14:textFill>
                  <w14:solidFill>
                    <w14:schemeClr w14:val="tx1"/>
                  </w14:solidFill>
                </w14:textFill>
              </w:rPr>
              <w:t xml:space="preserve"> </w:t>
            </w:r>
            <w:r>
              <w:rPr>
                <w:color w:val="000000" w:themeColor="text1"/>
                <w:spacing w:val="8"/>
                <w14:textFill>
                  <w14:solidFill>
                    <w14:schemeClr w14:val="tx1"/>
                  </w14:solidFill>
                </w14:textFill>
              </w:rPr>
              <w:t>0.5</w:t>
            </w:r>
            <w:r>
              <w:rPr>
                <w:color w:val="000000" w:themeColor="text1"/>
                <w14:textFill>
                  <w14:solidFill>
                    <w14:schemeClr w14:val="tx1"/>
                  </w14:solidFill>
                </w14:textFill>
              </w:rPr>
              <w:t>kg</w:t>
            </w:r>
            <w:r>
              <w:rPr>
                <w:color w:val="000000" w:themeColor="text1"/>
                <w:spacing w:val="8"/>
                <w14:textFill>
                  <w14:solidFill>
                    <w14:schemeClr w14:val="tx1"/>
                  </w14:solidFill>
                </w14:textFill>
              </w:rPr>
              <w:t>，一份为检验样品，一份为备用样品。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7" w:hRule="atLeast"/>
        </w:trPr>
        <w:tc>
          <w:tcPr>
            <w:tcW w:w="729" w:type="dxa"/>
            <w:vAlign w:val="top"/>
          </w:tcPr>
          <w:p>
            <w:pPr>
              <w:spacing w:line="242" w:lineRule="auto"/>
              <w:rPr>
                <w:rFonts w:ascii="Arial"/>
                <w:color w:val="000000" w:themeColor="text1"/>
                <w:sz w:val="21"/>
                <w14:textFill>
                  <w14:solidFill>
                    <w14:schemeClr w14:val="tx1"/>
                  </w14:solidFill>
                </w14:textFill>
              </w:rPr>
            </w:pPr>
          </w:p>
          <w:p>
            <w:pPr>
              <w:spacing w:line="242" w:lineRule="auto"/>
              <w:rPr>
                <w:rFonts w:ascii="Arial"/>
                <w:color w:val="000000" w:themeColor="text1"/>
                <w:sz w:val="21"/>
                <w14:textFill>
                  <w14:solidFill>
                    <w14:schemeClr w14:val="tx1"/>
                  </w14:solidFill>
                </w14:textFill>
              </w:rPr>
            </w:pPr>
          </w:p>
          <w:p>
            <w:pPr>
              <w:pStyle w:val="6"/>
              <w:spacing w:before="65" w:line="189" w:lineRule="auto"/>
              <w:ind w:left="451"/>
              <w:rPr>
                <w:color w:val="000000" w:themeColor="text1"/>
                <w14:textFill>
                  <w14:solidFill>
                    <w14:schemeClr w14:val="tx1"/>
                  </w14:solidFill>
                </w14:textFill>
              </w:rPr>
            </w:pPr>
            <w:r>
              <w:rPr>
                <w:color w:val="000000" w:themeColor="text1"/>
                <w14:textFill>
                  <w14:solidFill>
                    <w14:schemeClr w14:val="tx1"/>
                  </w14:solidFill>
                </w14:textFill>
              </w:rPr>
              <w:t>2</w:t>
            </w:r>
          </w:p>
        </w:tc>
        <w:tc>
          <w:tcPr>
            <w:tcW w:w="1980" w:type="dxa"/>
            <w:vAlign w:val="top"/>
          </w:tcPr>
          <w:p>
            <w:pPr>
              <w:spacing w:line="297" w:lineRule="auto"/>
              <w:rPr>
                <w:rFonts w:ascii="Arial"/>
                <w:color w:val="000000" w:themeColor="text1"/>
                <w:sz w:val="21"/>
                <w14:textFill>
                  <w14:solidFill>
                    <w14:schemeClr w14:val="tx1"/>
                  </w14:solidFill>
                </w14:textFill>
              </w:rPr>
            </w:pPr>
          </w:p>
          <w:p>
            <w:pPr>
              <w:pStyle w:val="6"/>
              <w:spacing w:before="65" w:line="258" w:lineRule="auto"/>
              <w:ind w:left="761" w:right="127" w:hanging="630"/>
              <w:rPr>
                <w:color w:val="000000" w:themeColor="text1"/>
                <w14:textFill>
                  <w14:solidFill>
                    <w14:schemeClr w14:val="tx1"/>
                  </w14:solidFill>
                </w14:textFill>
              </w:rPr>
            </w:pPr>
            <w:r>
              <w:rPr>
                <w:color w:val="000000" w:themeColor="text1"/>
                <w:spacing w:val="8"/>
                <w14:textFill>
                  <w14:solidFill>
                    <w14:schemeClr w14:val="tx1"/>
                  </w14:solidFill>
                </w14:textFill>
              </w:rPr>
              <w:t>合成树脂乳液外墙</w:t>
            </w:r>
            <w:r>
              <w:rPr>
                <w:color w:val="000000" w:themeColor="text1"/>
                <w:spacing w:val="3"/>
                <w14:textFill>
                  <w14:solidFill>
                    <w14:schemeClr w14:val="tx1"/>
                  </w14:solidFill>
                </w14:textFill>
              </w:rPr>
              <w:t>涂料</w:t>
            </w:r>
          </w:p>
        </w:tc>
        <w:tc>
          <w:tcPr>
            <w:tcW w:w="5615" w:type="dxa"/>
            <w:vAlign w:val="top"/>
          </w:tcPr>
          <w:p>
            <w:pPr>
              <w:pStyle w:val="6"/>
              <w:spacing w:before="51" w:line="240" w:lineRule="auto"/>
              <w:ind w:left="115" w:right="107" w:hanging="3"/>
              <w:rPr>
                <w:color w:val="000000" w:themeColor="text1"/>
                <w14:textFill>
                  <w14:solidFill>
                    <w14:schemeClr w14:val="tx1"/>
                  </w14:solidFill>
                </w14:textFill>
              </w:rPr>
            </w:pPr>
            <w:r>
              <w:rPr>
                <w:color w:val="000000" w:themeColor="text1"/>
                <w:spacing w:val="8"/>
                <w14:textFill>
                  <w14:solidFill>
                    <w14:schemeClr w14:val="tx1"/>
                  </w14:solidFill>
                </w14:textFill>
              </w:rPr>
              <w:t>抽取不少于</w:t>
            </w:r>
            <w:r>
              <w:rPr>
                <w:color w:val="000000" w:themeColor="text1"/>
                <w:spacing w:val="-35"/>
                <w14:textFill>
                  <w14:solidFill>
                    <w14:schemeClr w14:val="tx1"/>
                  </w14:solidFill>
                </w14:textFill>
              </w:rPr>
              <w:t xml:space="preserve"> </w:t>
            </w:r>
            <w:r>
              <w:rPr>
                <w:color w:val="000000" w:themeColor="text1"/>
                <w:spacing w:val="8"/>
                <w14:textFill>
                  <w14:solidFill>
                    <w14:schemeClr w14:val="tx1"/>
                  </w14:solidFill>
                </w14:textFill>
              </w:rPr>
              <w:t>6</w:t>
            </w:r>
            <w:r>
              <w:rPr>
                <w:color w:val="000000" w:themeColor="text1"/>
                <w14:textFill>
                  <w14:solidFill>
                    <w14:schemeClr w14:val="tx1"/>
                  </w14:solidFill>
                </w14:textFill>
              </w:rPr>
              <w:t>kg</w:t>
            </w:r>
            <w:r>
              <w:rPr>
                <w:color w:val="000000" w:themeColor="text1"/>
                <w:spacing w:val="-41"/>
                <w14:textFill>
                  <w14:solidFill>
                    <w14:schemeClr w14:val="tx1"/>
                  </w14:solidFill>
                </w14:textFill>
              </w:rPr>
              <w:t xml:space="preserve"> </w:t>
            </w:r>
            <w:r>
              <w:rPr>
                <w:color w:val="000000" w:themeColor="text1"/>
                <w:spacing w:val="8"/>
                <w14:textFill>
                  <w14:solidFill>
                    <w14:schemeClr w14:val="tx1"/>
                  </w14:solidFill>
                </w14:textFill>
              </w:rPr>
              <w:t>样品，其中检验样品不少于</w:t>
            </w:r>
            <w:r>
              <w:rPr>
                <w:color w:val="000000" w:themeColor="text1"/>
                <w:spacing w:val="-35"/>
                <w14:textFill>
                  <w14:solidFill>
                    <w14:schemeClr w14:val="tx1"/>
                  </w14:solidFill>
                </w14:textFill>
              </w:rPr>
              <w:t xml:space="preserve"> </w:t>
            </w:r>
            <w:r>
              <w:rPr>
                <w:color w:val="000000" w:themeColor="text1"/>
                <w:spacing w:val="8"/>
                <w14:textFill>
                  <w14:solidFill>
                    <w14:schemeClr w14:val="tx1"/>
                  </w14:solidFill>
                </w14:textFill>
              </w:rPr>
              <w:t>3</w:t>
            </w:r>
            <w:r>
              <w:rPr>
                <w:color w:val="000000" w:themeColor="text1"/>
                <w14:textFill>
                  <w14:solidFill>
                    <w14:schemeClr w14:val="tx1"/>
                  </w14:solidFill>
                </w14:textFill>
              </w:rPr>
              <w:t>kg</w:t>
            </w:r>
            <w:r>
              <w:rPr>
                <w:color w:val="000000" w:themeColor="text1"/>
                <w:spacing w:val="8"/>
                <w14:textFill>
                  <w14:solidFill>
                    <w14:schemeClr w14:val="tx1"/>
                  </w14:solidFill>
                </w14:textFill>
              </w:rPr>
              <w:t>，备用样品不少于</w:t>
            </w:r>
            <w:r>
              <w:rPr>
                <w:color w:val="000000" w:themeColor="text1"/>
                <w:spacing w:val="-29"/>
                <w14:textFill>
                  <w14:solidFill>
                    <w14:schemeClr w14:val="tx1"/>
                  </w14:solidFill>
                </w14:textFill>
              </w:rPr>
              <w:t xml:space="preserve"> </w:t>
            </w:r>
            <w:r>
              <w:rPr>
                <w:color w:val="000000" w:themeColor="text1"/>
                <w:spacing w:val="8"/>
                <w14:textFill>
                  <w14:solidFill>
                    <w14:schemeClr w14:val="tx1"/>
                  </w14:solidFill>
                </w14:textFill>
              </w:rPr>
              <w:t>3</w:t>
            </w:r>
            <w:r>
              <w:rPr>
                <w:color w:val="000000" w:themeColor="text1"/>
                <w14:textFill>
                  <w14:solidFill>
                    <w14:schemeClr w14:val="tx1"/>
                  </w14:solidFill>
                </w14:textFill>
              </w:rPr>
              <w:t>kg</w:t>
            </w:r>
            <w:r>
              <w:rPr>
                <w:color w:val="000000" w:themeColor="text1"/>
                <w:spacing w:val="8"/>
                <w14:textFill>
                  <w14:solidFill>
                    <w14:schemeClr w14:val="tx1"/>
                  </w14:solidFill>
                </w14:textFill>
              </w:rPr>
              <w:t>。如需配套底漆和/或中涂漆，抽取底漆和/</w:t>
            </w:r>
            <w:r>
              <w:rPr>
                <w:color w:val="000000" w:themeColor="text1"/>
                <w:spacing w:val="7"/>
                <w14:textFill>
                  <w14:solidFill>
                    <w14:schemeClr w14:val="tx1"/>
                  </w14:solidFill>
                </w14:textFill>
              </w:rPr>
              <w:t>或中涂漆各</w:t>
            </w:r>
            <w:r>
              <w:rPr>
                <w:color w:val="000000" w:themeColor="text1"/>
                <w:spacing w:val="-29"/>
                <w14:textFill>
                  <w14:solidFill>
                    <w14:schemeClr w14:val="tx1"/>
                  </w14:solidFill>
                </w14:textFill>
              </w:rPr>
              <w:t xml:space="preserve"> </w:t>
            </w:r>
            <w:r>
              <w:rPr>
                <w:color w:val="000000" w:themeColor="text1"/>
                <w:spacing w:val="7"/>
                <w14:textFill>
                  <w14:solidFill>
                    <w14:schemeClr w14:val="tx1"/>
                  </w14:solidFill>
                </w14:textFill>
              </w:rPr>
              <w:t>2</w:t>
            </w:r>
            <w:r>
              <w:rPr>
                <w:color w:val="000000" w:themeColor="text1"/>
                <w:spacing w:val="-38"/>
                <w14:textFill>
                  <w14:solidFill>
                    <w14:schemeClr w14:val="tx1"/>
                  </w14:solidFill>
                </w14:textFill>
              </w:rPr>
              <w:t xml:space="preserve"> </w:t>
            </w:r>
            <w:r>
              <w:rPr>
                <w:color w:val="000000" w:themeColor="text1"/>
                <w:spacing w:val="7"/>
                <w14:textFill>
                  <w14:solidFill>
                    <w14:schemeClr w14:val="tx1"/>
                  </w14:solidFill>
                </w14:textFill>
              </w:rPr>
              <w:t>份，每份不少于</w:t>
            </w:r>
            <w:r>
              <w:rPr>
                <w:color w:val="000000" w:themeColor="text1"/>
                <w:spacing w:val="-37"/>
                <w14:textFill>
                  <w14:solidFill>
                    <w14:schemeClr w14:val="tx1"/>
                  </w14:solidFill>
                </w14:textFill>
              </w:rPr>
              <w:t xml:space="preserve"> </w:t>
            </w:r>
            <w:r>
              <w:rPr>
                <w:color w:val="000000" w:themeColor="text1"/>
                <w:spacing w:val="7"/>
                <w14:textFill>
                  <w14:solidFill>
                    <w14:schemeClr w14:val="tx1"/>
                  </w14:solidFill>
                </w14:textFill>
              </w:rPr>
              <w:t>0.5</w:t>
            </w:r>
            <w:r>
              <w:rPr>
                <w:color w:val="000000" w:themeColor="text1"/>
                <w14:textFill>
                  <w14:solidFill>
                    <w14:schemeClr w14:val="tx1"/>
                  </w14:solidFill>
                </w14:textFill>
              </w:rPr>
              <w:t>kg</w:t>
            </w:r>
            <w:r>
              <w:rPr>
                <w:color w:val="000000" w:themeColor="text1"/>
                <w:spacing w:val="7"/>
                <w14:textFill>
                  <w14:solidFill>
                    <w14:schemeClr w14:val="tx1"/>
                  </w14:solidFill>
                </w14:textFill>
              </w:rPr>
              <w:t>，一份为检验样品，一份为备用样品。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3" w:hRule="atLeast"/>
        </w:trPr>
        <w:tc>
          <w:tcPr>
            <w:tcW w:w="8324" w:type="dxa"/>
            <w:gridSpan w:val="3"/>
            <w:vAlign w:val="center"/>
          </w:tcPr>
          <w:p>
            <w:pPr>
              <w:spacing w:line="320" w:lineRule="exact"/>
              <w:ind w:firstLine="180" w:firstLineChars="100"/>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注1：其他树脂类型的涂料，双组份的抽样量参照溶剂型聚氨酯涂料（双组份），单组份的参照醇酸涂料；</w:t>
            </w:r>
          </w:p>
          <w:p>
            <w:pPr>
              <w:pStyle w:val="6"/>
              <w:spacing w:before="64" w:line="258" w:lineRule="auto"/>
              <w:ind w:right="149" w:firstLine="180" w:firstLineChars="100"/>
              <w:rPr>
                <w:color w:val="000000" w:themeColor="text1"/>
                <w:spacing w:val="7"/>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注2：由于产品包装容器体积不一，视情况调整，已满足试验要求为准。</w:t>
            </w:r>
          </w:p>
        </w:tc>
      </w:tr>
    </w:tbl>
    <w:p>
      <w:pPr>
        <w:rPr>
          <w:rFonts w:ascii="Arial"/>
          <w:sz w:val="21"/>
        </w:rPr>
      </w:pPr>
    </w:p>
    <w:p>
      <w:pPr>
        <w:rPr>
          <w:rFonts w:ascii="Arial" w:hAnsi="Arial" w:eastAsia="Arial" w:cs="Arial"/>
          <w:sz w:val="21"/>
          <w:szCs w:val="21"/>
        </w:rPr>
        <w:sectPr>
          <w:pgSz w:w="11906" w:h="16839"/>
          <w:pgMar w:top="1424" w:right="1743" w:bottom="0" w:left="1785" w:header="0" w:footer="0" w:gutter="0"/>
          <w:cols w:space="720" w:num="1"/>
        </w:sectPr>
      </w:pPr>
    </w:p>
    <w:p>
      <w:pPr>
        <w:spacing w:line="91" w:lineRule="auto"/>
        <w:rPr>
          <w:rFonts w:ascii="Arial"/>
          <w:sz w:val="2"/>
        </w:rPr>
      </w:pPr>
    </w:p>
    <w:p>
      <w:pPr>
        <w:spacing w:line="371" w:lineRule="auto"/>
        <w:rPr>
          <w:rFonts w:ascii="Arial"/>
          <w:sz w:val="21"/>
        </w:rPr>
      </w:pPr>
    </w:p>
    <w:p>
      <w:pPr>
        <w:pStyle w:val="2"/>
        <w:spacing w:before="56" w:line="22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r>
        <w:rPr>
          <w:rFonts w:hint="eastAsia" w:ascii="黑体" w:hAnsi="黑体" w:eastAsia="黑体" w:cs="黑体"/>
          <w:b w:val="0"/>
          <w:bCs w:val="0"/>
          <w:color w:val="000000" w:themeColor="text1"/>
          <w:spacing w:val="-4"/>
          <w:sz w:val="20"/>
          <w:szCs w:val="20"/>
          <w14:textFill>
            <w14:solidFill>
              <w14:schemeClr w14:val="tx1"/>
            </w14:solidFill>
          </w14:textFill>
        </w:rPr>
        <w:t>2 检验项目及检测方法</w:t>
      </w:r>
    </w:p>
    <w:p>
      <w:pPr>
        <w:pStyle w:val="2"/>
        <w:spacing w:before="163" w:line="228" w:lineRule="auto"/>
        <w:ind w:left="2104"/>
      </w:pPr>
      <w:r>
        <w:rPr>
          <w:b/>
          <w:bCs/>
          <w:spacing w:val="10"/>
        </w:rPr>
        <w:t>表</w:t>
      </w:r>
      <w:r>
        <w:rPr>
          <w:spacing w:val="-28"/>
        </w:rPr>
        <w:t xml:space="preserve"> </w:t>
      </w:r>
      <w:r>
        <w:rPr>
          <w:b/>
          <w:bCs/>
          <w:spacing w:val="10"/>
        </w:rPr>
        <w:t>2-1</w:t>
      </w:r>
      <w:r>
        <w:rPr>
          <w:spacing w:val="10"/>
        </w:rPr>
        <w:t xml:space="preserve"> </w:t>
      </w:r>
      <w:r>
        <w:rPr>
          <w:b/>
          <w:bCs/>
          <w:spacing w:val="10"/>
        </w:rPr>
        <w:t>合成树脂乳液内墙涂料面漆检验项目</w:t>
      </w:r>
    </w:p>
    <w:p>
      <w:pPr>
        <w:spacing w:line="129" w:lineRule="exact"/>
      </w:pPr>
    </w:p>
    <w:tbl>
      <w:tblPr>
        <w:tblStyle w:val="5"/>
        <w:tblW w:w="8209" w:type="dxa"/>
        <w:tblInd w:w="11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1"/>
        <w:gridCol w:w="4973"/>
        <w:gridCol w:w="235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5"/>
              </w:rPr>
              <w:t>序号</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检验项目</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1</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甲醛含量</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3"/>
              </w:rPr>
              <w:t>/T</w:t>
            </w:r>
            <w:r>
              <w:rPr>
                <w:spacing w:val="20"/>
              </w:rPr>
              <w:t xml:space="preserve"> </w:t>
            </w:r>
            <w:r>
              <w:rPr>
                <w:spacing w:val="3"/>
              </w:rPr>
              <w:t>23993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2</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苯系物总和含量[限苯、</w:t>
            </w:r>
            <w:r>
              <w:rPr>
                <w:spacing w:val="-45"/>
              </w:rPr>
              <w:t xml:space="preserve"> </w:t>
            </w:r>
            <w:r>
              <w:rPr>
                <w:spacing w:val="7"/>
              </w:rPr>
              <w:t>甲苯、二甲苯（含乙苯）]</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3"/>
              </w:rPr>
              <w:t>/T</w:t>
            </w:r>
            <w:r>
              <w:rPr>
                <w:spacing w:val="20"/>
              </w:rPr>
              <w:t xml:space="preserve"> </w:t>
            </w:r>
            <w:r>
              <w:rPr>
                <w:spacing w:val="3"/>
              </w:rPr>
              <w:t>23990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3</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10"/>
              </w:rPr>
              <w:t>可溶性重金属含量（镉、铬、汞</w:t>
            </w:r>
            <w:r>
              <w:rPr>
                <w:spacing w:val="-54"/>
              </w:rPr>
              <w:t>）（</w:t>
            </w:r>
            <w:r>
              <w:rPr>
                <w:spacing w:val="10"/>
              </w:rPr>
              <w:t>限色漆）</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3"/>
              </w:rPr>
              <w:t>/T</w:t>
            </w:r>
            <w:r>
              <w:rPr>
                <w:spacing w:val="20"/>
              </w:rPr>
              <w:t xml:space="preserve"> </w:t>
            </w:r>
            <w:r>
              <w:rPr>
                <w:spacing w:val="3"/>
              </w:rPr>
              <w:t>23991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4</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总铅含量（限色漆）</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3"/>
              </w:rPr>
              <w:t>/T</w:t>
            </w:r>
            <w:r>
              <w:rPr>
                <w:spacing w:val="20"/>
              </w:rPr>
              <w:t xml:space="preserve"> </w:t>
            </w:r>
            <w:r>
              <w:rPr>
                <w:spacing w:val="3"/>
              </w:rPr>
              <w:t>30647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lang w:val="en-US" w:eastAsia="zh-CN"/>
              </w:rPr>
            </w:pPr>
            <w:r>
              <w:rPr>
                <w:rFonts w:hint="eastAsia"/>
                <w:lang w:val="en-US" w:eastAsia="zh-CN"/>
              </w:rPr>
              <w:t>5</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spacing w:val="7"/>
              </w:rPr>
            </w:pPr>
            <w:r>
              <w:rPr>
                <w:spacing w:val="8"/>
              </w:rPr>
              <w:t>低温稳定性</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pPr>
            <w:r>
              <w:t>GB</w:t>
            </w:r>
            <w:r>
              <w:rPr>
                <w:spacing w:val="4"/>
              </w:rPr>
              <w:t>/T</w:t>
            </w:r>
            <w:r>
              <w:rPr>
                <w:spacing w:val="16"/>
              </w:rPr>
              <w:t xml:space="preserve"> </w:t>
            </w:r>
            <w:r>
              <w:rPr>
                <w:spacing w:val="4"/>
              </w:rPr>
              <w:t>9268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lang w:val="en-US" w:eastAsia="zh-CN"/>
              </w:rPr>
            </w:pPr>
            <w:r>
              <w:rPr>
                <w:rFonts w:hint="eastAsia"/>
                <w:lang w:val="en-US" w:eastAsia="zh-CN"/>
              </w:rPr>
              <w:t>6</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spacing w:val="8"/>
              </w:rPr>
            </w:pPr>
            <w:r>
              <w:rPr>
                <w:spacing w:val="6"/>
              </w:rPr>
              <w:t>耐碱性</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eastAsia="宋体"/>
                <w:lang w:val="en-US" w:eastAsia="zh-CN"/>
              </w:rPr>
            </w:pPr>
            <w:r>
              <w:rPr>
                <w:position w:val="7"/>
              </w:rPr>
              <w:t>GB</w:t>
            </w:r>
            <w:r>
              <w:rPr>
                <w:spacing w:val="4"/>
                <w:position w:val="7"/>
              </w:rPr>
              <w:t>/T</w:t>
            </w:r>
            <w:r>
              <w:rPr>
                <w:spacing w:val="16"/>
                <w:position w:val="7"/>
              </w:rPr>
              <w:t xml:space="preserve"> </w:t>
            </w:r>
            <w:r>
              <w:rPr>
                <w:spacing w:val="4"/>
                <w:position w:val="7"/>
              </w:rPr>
              <w:t>9</w:t>
            </w:r>
            <w:r>
              <w:rPr>
                <w:rFonts w:hint="eastAsia"/>
                <w:spacing w:val="4"/>
                <w:position w:val="7"/>
                <w:lang w:val="en-US" w:eastAsia="zh-CN"/>
              </w:rPr>
              <w:t>265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lang w:val="en-US" w:eastAsia="zh-CN"/>
              </w:rPr>
            </w:pPr>
            <w:r>
              <w:rPr>
                <w:rFonts w:hint="eastAsia"/>
                <w:lang w:val="en-US" w:eastAsia="zh-CN"/>
              </w:rPr>
              <w:t>7</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ascii="宋体" w:hAnsi="宋体" w:eastAsia="宋体" w:cs="宋体"/>
                <w:snapToGrid w:val="0"/>
                <w:color w:val="000000"/>
                <w:kern w:val="0"/>
                <w:sz w:val="20"/>
                <w:szCs w:val="20"/>
                <w:lang w:val="en-US" w:eastAsia="en-US" w:bidi="ar-SA"/>
              </w:rPr>
            </w:pPr>
            <w:r>
              <w:rPr>
                <w:spacing w:val="8"/>
              </w:rPr>
              <w:t>对比率（白色和浅色）</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ascii="宋体" w:hAnsi="宋体" w:eastAsia="宋体" w:cs="宋体"/>
                <w:snapToGrid w:val="0"/>
                <w:color w:val="000000"/>
                <w:kern w:val="0"/>
                <w:sz w:val="20"/>
                <w:szCs w:val="20"/>
                <w:lang w:val="en-US" w:eastAsia="en-US" w:bidi="ar-SA"/>
              </w:rPr>
            </w:pPr>
            <w:r>
              <w:t>GB</w:t>
            </w:r>
            <w:r>
              <w:rPr>
                <w:spacing w:val="3"/>
              </w:rPr>
              <w:t>/T</w:t>
            </w:r>
            <w:r>
              <w:rPr>
                <w:spacing w:val="20"/>
              </w:rPr>
              <w:t xml:space="preserve"> </w:t>
            </w:r>
            <w:r>
              <w:rPr>
                <w:spacing w:val="3"/>
              </w:rPr>
              <w:t>23981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trPr>
        <w:tc>
          <w:tcPr>
            <w:tcW w:w="881"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lang w:val="en-US" w:eastAsia="zh-CN"/>
              </w:rPr>
            </w:pPr>
            <w:r>
              <w:rPr>
                <w:rFonts w:hint="eastAsia"/>
                <w:lang w:val="en-US" w:eastAsia="zh-CN"/>
              </w:rPr>
              <w:t>8</w:t>
            </w:r>
          </w:p>
        </w:tc>
        <w:tc>
          <w:tcPr>
            <w:tcW w:w="497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spacing w:val="8"/>
              </w:rPr>
            </w:pPr>
            <w:r>
              <w:rPr>
                <w:spacing w:val="6"/>
              </w:rPr>
              <w:t>耐洗刷性</w:t>
            </w:r>
          </w:p>
        </w:tc>
        <w:tc>
          <w:tcPr>
            <w:tcW w:w="2355"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pPr>
            <w:r>
              <w:t>GB</w:t>
            </w:r>
            <w:r>
              <w:rPr>
                <w:spacing w:val="4"/>
              </w:rPr>
              <w:t>/T</w:t>
            </w:r>
            <w:r>
              <w:rPr>
                <w:spacing w:val="16"/>
              </w:rPr>
              <w:t xml:space="preserve"> </w:t>
            </w:r>
            <w:r>
              <w:rPr>
                <w:spacing w:val="4"/>
              </w:rPr>
              <w:t>9266</w:t>
            </w:r>
          </w:p>
        </w:tc>
      </w:tr>
    </w:tbl>
    <w:p>
      <w:pPr>
        <w:rPr>
          <w:rFonts w:ascii="Arial"/>
          <w:sz w:val="21"/>
        </w:rPr>
      </w:pPr>
    </w:p>
    <w:p>
      <w:pPr>
        <w:spacing w:line="91" w:lineRule="auto"/>
        <w:rPr>
          <w:rFonts w:ascii="Arial"/>
          <w:sz w:val="2"/>
        </w:rPr>
      </w:pPr>
    </w:p>
    <w:p>
      <w:pPr>
        <w:pStyle w:val="2"/>
        <w:spacing w:before="65" w:line="228" w:lineRule="auto"/>
        <w:ind w:left="2104"/>
      </w:pPr>
      <w:r>
        <w:rPr>
          <w:b/>
          <w:bCs/>
          <w:spacing w:val="10"/>
        </w:rPr>
        <w:t>表</w:t>
      </w:r>
      <w:r>
        <w:rPr>
          <w:spacing w:val="-28"/>
        </w:rPr>
        <w:t xml:space="preserve"> </w:t>
      </w:r>
      <w:r>
        <w:rPr>
          <w:b/>
          <w:bCs/>
          <w:spacing w:val="10"/>
        </w:rPr>
        <w:t>2-2</w:t>
      </w:r>
      <w:r>
        <w:rPr>
          <w:spacing w:val="10"/>
        </w:rPr>
        <w:t xml:space="preserve"> </w:t>
      </w:r>
      <w:r>
        <w:rPr>
          <w:b/>
          <w:bCs/>
          <w:spacing w:val="10"/>
        </w:rPr>
        <w:t>合成树脂乳液外墙涂料面漆检验项目</w:t>
      </w:r>
    </w:p>
    <w:p>
      <w:pPr>
        <w:spacing w:line="131" w:lineRule="exact"/>
      </w:pPr>
    </w:p>
    <w:tbl>
      <w:tblPr>
        <w:tblStyle w:val="5"/>
        <w:tblpPr w:leftFromText="180" w:rightFromText="180" w:vertAnchor="text" w:horzAnchor="page" w:tblpXSpec="center" w:tblpY="136"/>
        <w:tblOverlap w:val="never"/>
        <w:tblW w:w="8160"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89"/>
        <w:gridCol w:w="4943"/>
        <w:gridCol w:w="2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1" w:hRule="atLeas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firstLine="210" w:firstLineChars="100"/>
              <w:textAlignment w:val="baseline"/>
            </w:pPr>
            <w:r>
              <w:rPr>
                <w:spacing w:val="5"/>
              </w:rPr>
              <w:t>序号</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检验项目</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1</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甲醛含量</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5"/>
              </w:rPr>
              <w:t xml:space="preserve"> </w:t>
            </w:r>
            <w:r>
              <w:rPr>
                <w:spacing w:val="4"/>
              </w:rPr>
              <w:t>23993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2</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7"/>
              </w:rPr>
              <w:t>苯系物总和含量[限苯、</w:t>
            </w:r>
            <w:r>
              <w:rPr>
                <w:spacing w:val="-45"/>
              </w:rPr>
              <w:t xml:space="preserve"> </w:t>
            </w:r>
            <w:r>
              <w:rPr>
                <w:spacing w:val="7"/>
              </w:rPr>
              <w:t>甲苯、二甲苯（含乙苯）]</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5"/>
              </w:rPr>
              <w:t xml:space="preserve"> </w:t>
            </w:r>
            <w:r>
              <w:rPr>
                <w:spacing w:val="4"/>
              </w:rPr>
              <w:t>23990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3</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8"/>
              </w:rPr>
              <w:t>总铅（</w:t>
            </w:r>
            <w:r>
              <w:t>Pb</w:t>
            </w:r>
            <w:r>
              <w:rPr>
                <w:spacing w:val="8"/>
              </w:rPr>
              <w:t>）含量（限色漆）</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3"/>
              </w:rPr>
              <w:t>/T</w:t>
            </w:r>
            <w:r>
              <w:rPr>
                <w:spacing w:val="22"/>
              </w:rPr>
              <w:t xml:space="preserve"> </w:t>
            </w:r>
            <w:r>
              <w:rPr>
                <w:spacing w:val="3"/>
              </w:rPr>
              <w:t>30647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4</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10"/>
              </w:rPr>
              <w:t>可溶性重金属（镉、铬、汞</w:t>
            </w:r>
            <w:r>
              <w:rPr>
                <w:spacing w:val="-55"/>
              </w:rPr>
              <w:t>）（</w:t>
            </w:r>
            <w:r>
              <w:rPr>
                <w:spacing w:val="10"/>
              </w:rPr>
              <w:t>限色漆）</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5"/>
              </w:rPr>
              <w:t xml:space="preserve"> </w:t>
            </w:r>
            <w:r>
              <w:rPr>
                <w:spacing w:val="4"/>
              </w:rPr>
              <w:t>23991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5</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8"/>
              </w:rPr>
              <w:t>低温稳定性</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6"/>
              </w:rPr>
              <w:t xml:space="preserve"> </w:t>
            </w:r>
            <w:r>
              <w:rPr>
                <w:spacing w:val="4"/>
              </w:rPr>
              <w:t>9268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lang w:val="en-US" w:eastAsia="zh-CN"/>
              </w:rPr>
              <w:t>6</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Times New Roman" w:hAnsi="Times New Roman" w:eastAsia="Times New Roman" w:cs="Times New Roman"/>
              </w:rPr>
            </w:pPr>
            <w:r>
              <w:rPr>
                <w:spacing w:val="7"/>
              </w:rPr>
              <w:t>对比率</w:t>
            </w:r>
            <w:r>
              <w:rPr>
                <w:rFonts w:ascii="Times New Roman" w:hAnsi="Times New Roman" w:eastAsia="Times New Roman" w:cs="Times New Roman"/>
                <w:spacing w:val="7"/>
              </w:rPr>
              <w:t>(</w:t>
            </w:r>
            <w:r>
              <w:rPr>
                <w:spacing w:val="7"/>
              </w:rPr>
              <w:t>白色和浅色</w:t>
            </w:r>
            <w:r>
              <w:rPr>
                <w:rFonts w:ascii="Times New Roman" w:hAnsi="Times New Roman" w:eastAsia="Times New Roman" w:cs="Times New Roman"/>
                <w:spacing w:val="7"/>
              </w:rPr>
              <w:t>)</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8"/>
              </w:rPr>
              <w:t xml:space="preserve"> </w:t>
            </w:r>
            <w:r>
              <w:rPr>
                <w:spacing w:val="4"/>
              </w:rPr>
              <w:t>23981.1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eastAsia="宋体"/>
                <w:lang w:val="en-US" w:eastAsia="zh-CN"/>
              </w:rPr>
            </w:pPr>
            <w:r>
              <w:rPr>
                <w:rFonts w:hint="eastAsia"/>
                <w:lang w:val="en-US" w:eastAsia="zh-CN"/>
              </w:rPr>
              <w:t>7</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Times New Roman" w:hAnsi="Times New Roman" w:eastAsia="Times New Roman" w:cs="Times New Roman"/>
              </w:rPr>
            </w:pPr>
            <w:r>
              <w:rPr>
                <w:spacing w:val="7"/>
              </w:rPr>
              <w:t>耐沾污性</w:t>
            </w:r>
            <w:r>
              <w:rPr>
                <w:rFonts w:ascii="Times New Roman" w:hAnsi="Times New Roman" w:eastAsia="Times New Roman" w:cs="Times New Roman"/>
                <w:spacing w:val="7"/>
              </w:rPr>
              <w:t>(</w:t>
            </w:r>
            <w:r>
              <w:rPr>
                <w:spacing w:val="7"/>
              </w:rPr>
              <w:t>白色和浅色</w:t>
            </w:r>
            <w:r>
              <w:rPr>
                <w:rFonts w:ascii="Times New Roman" w:hAnsi="Times New Roman" w:eastAsia="Times New Roman" w:cs="Times New Roman"/>
                <w:spacing w:val="7"/>
              </w:rPr>
              <w:t>)</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6"/>
              </w:rPr>
              <w:t xml:space="preserve"> </w:t>
            </w:r>
            <w:r>
              <w:rPr>
                <w:spacing w:val="4"/>
              </w:rPr>
              <w:t>9780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spacing w:val="-7"/>
                <w:lang w:val="en-US" w:eastAsia="zh-CN"/>
              </w:rPr>
              <w:t>8</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6"/>
              </w:rPr>
              <w:t>耐洗刷性</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6"/>
              </w:rPr>
              <w:t xml:space="preserve"> </w:t>
            </w:r>
            <w:r>
              <w:rPr>
                <w:spacing w:val="4"/>
              </w:rPr>
              <w:t>9755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eastAsia="宋体"/>
                <w:lang w:eastAsia="zh-CN"/>
              </w:rPr>
            </w:pPr>
            <w:r>
              <w:rPr>
                <w:rFonts w:hint="eastAsia"/>
                <w:spacing w:val="-7"/>
                <w:lang w:val="en-US" w:eastAsia="zh-CN"/>
              </w:rPr>
              <w:t>9</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6"/>
              </w:rPr>
              <w:t>耐碱性</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4"/>
              </w:rPr>
              <w:t>/T</w:t>
            </w:r>
            <w:r>
              <w:rPr>
                <w:spacing w:val="16"/>
              </w:rPr>
              <w:t xml:space="preserve"> </w:t>
            </w:r>
            <w:r>
              <w:rPr>
                <w:spacing w:val="4"/>
              </w:rPr>
              <w:t>9265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2" w:hRule="exact"/>
          <w:jc w:val="center"/>
        </w:trPr>
        <w:tc>
          <w:tcPr>
            <w:tcW w:w="889"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eastAsia="宋体"/>
                <w:lang w:val="en-US" w:eastAsia="zh-CN"/>
              </w:rPr>
            </w:pPr>
            <w:r>
              <w:rPr>
                <w:rFonts w:hint="eastAsia"/>
                <w:spacing w:val="-7"/>
                <w:lang w:val="en-US" w:eastAsia="zh-CN"/>
              </w:rPr>
              <w:t>10</w:t>
            </w:r>
          </w:p>
        </w:tc>
        <w:tc>
          <w:tcPr>
            <w:tcW w:w="4943"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rPr>
                <w:spacing w:val="6"/>
              </w:rPr>
              <w:t>耐水性</w:t>
            </w:r>
          </w:p>
        </w:tc>
        <w:tc>
          <w:tcPr>
            <w:tcW w:w="2328" w:type="dxa"/>
            <w:vAlign w:val="center"/>
          </w:tcPr>
          <w:p>
            <w:pPr>
              <w:pStyle w:val="6"/>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pPr>
            <w:r>
              <w:t>GB</w:t>
            </w:r>
            <w:r>
              <w:rPr>
                <w:spacing w:val="2"/>
              </w:rPr>
              <w:t>/T</w:t>
            </w:r>
            <w:r>
              <w:rPr>
                <w:spacing w:val="28"/>
              </w:rPr>
              <w:t xml:space="preserve"> </w:t>
            </w:r>
            <w:r>
              <w:rPr>
                <w:spacing w:val="2"/>
              </w:rPr>
              <w:t>1733</w:t>
            </w:r>
          </w:p>
        </w:tc>
      </w:tr>
    </w:tbl>
    <w:p>
      <w:pPr>
        <w:rPr>
          <w:rFonts w:ascii="Arial" w:hAnsi="Arial" w:eastAsia="Arial" w:cs="Arial"/>
          <w:sz w:val="21"/>
          <w:szCs w:val="21"/>
        </w:rPr>
        <w:sectPr>
          <w:pgSz w:w="11906" w:h="16839"/>
          <w:pgMar w:top="1431" w:right="1769" w:bottom="0" w:left="1769" w:header="0" w:footer="0" w:gutter="0"/>
          <w:cols w:space="720" w:num="1"/>
        </w:sectPr>
      </w:pPr>
    </w:p>
    <w:p>
      <w:pPr>
        <w:spacing w:line="91" w:lineRule="exact"/>
      </w:pPr>
    </w:p>
    <w:p>
      <w:pPr>
        <w:spacing w:line="91" w:lineRule="auto"/>
        <w:rPr>
          <w:rFonts w:ascii="Arial"/>
          <w:sz w:val="2"/>
        </w:rPr>
      </w:pP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baseline"/>
      </w:pPr>
      <w:r>
        <w:rPr>
          <w:spacing w:val="9"/>
          <w:position w:val="15"/>
        </w:rPr>
        <w:t>注：上表所列检验项目是有关法律法规、标准等规定的，重点涉及健康、</w:t>
      </w:r>
      <w:r>
        <w:rPr>
          <w:spacing w:val="8"/>
          <w:position w:val="15"/>
        </w:rPr>
        <w:t>安全、节能、</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环保以及消费者、有关组织反映有质量问题的重要项目。</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36" w:firstLineChars="200"/>
        <w:textAlignment w:val="baseline"/>
      </w:pPr>
      <w:r>
        <w:rPr>
          <w:spacing w:val="9"/>
        </w:rPr>
        <w:t>执行企业标准、团体标准、地方标准的产品，检验项目参照上述内容执行。</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right"/>
        <w:textAlignment w:val="baseline"/>
      </w:pPr>
      <w:r>
        <w:rPr>
          <w:spacing w:val="7"/>
          <w:position w:val="15"/>
        </w:rPr>
        <w:t>凡是注日期的文件，其随后所有的修改单（不包括勘误的内容）或修订版不适用于本细</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则。凡是不注日期的文件，其最新版本适用于本细则。</w:t>
      </w:r>
    </w:p>
    <w:p>
      <w:pPr>
        <w:pStyle w:val="2"/>
        <w:spacing w:before="56" w:line="36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r>
        <w:rPr>
          <w:rFonts w:hint="eastAsia" w:ascii="黑体" w:hAnsi="黑体" w:eastAsia="黑体" w:cs="黑体"/>
          <w:b w:val="0"/>
          <w:bCs w:val="0"/>
          <w:color w:val="000000" w:themeColor="text1"/>
          <w:spacing w:val="-4"/>
          <w:sz w:val="20"/>
          <w:szCs w:val="20"/>
          <w14:textFill>
            <w14:solidFill>
              <w14:schemeClr w14:val="tx1"/>
            </w14:solidFill>
          </w14:textFill>
        </w:rPr>
        <w:t>3 判定规则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left"/>
        <w:textAlignment w:val="baseline"/>
        <w:rPr>
          <w:spacing w:val="7"/>
          <w:position w:val="15"/>
        </w:rPr>
      </w:pPr>
      <w:r>
        <w:rPr>
          <w:spacing w:val="7"/>
          <w:position w:val="15"/>
        </w:rPr>
        <w:t>3.1 依据标准</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jc w:val="left"/>
        <w:textAlignment w:val="baseline"/>
        <w:rPr>
          <w:spacing w:val="7"/>
          <w:position w:val="15"/>
        </w:rPr>
      </w:pPr>
      <w:r>
        <w:rPr>
          <w:spacing w:val="7"/>
          <w:position w:val="15"/>
        </w:rPr>
        <w:t>GB/T 9756  合成树脂乳液内墙涂料</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jc w:val="left"/>
        <w:textAlignment w:val="baseline"/>
        <w:rPr>
          <w:spacing w:val="7"/>
          <w:position w:val="15"/>
        </w:rPr>
      </w:pPr>
      <w:r>
        <w:rPr>
          <w:rFonts w:hint="eastAsia"/>
          <w:spacing w:val="7"/>
          <w:position w:val="15"/>
          <w:lang w:val="en-US" w:eastAsia="zh-CN"/>
        </w:rPr>
        <w:t>G</w:t>
      </w:r>
      <w:r>
        <w:rPr>
          <w:spacing w:val="7"/>
          <w:position w:val="15"/>
        </w:rPr>
        <w:t>B 18582  建筑用墙面涂料中有害物质限量</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jc w:val="left"/>
        <w:textAlignment w:val="baseline"/>
        <w:rPr>
          <w:spacing w:val="7"/>
          <w:position w:val="15"/>
        </w:rPr>
      </w:pPr>
      <w:r>
        <w:rPr>
          <w:spacing w:val="7"/>
          <w:position w:val="15"/>
        </w:rPr>
        <w:t>GB/T 9755  合成树脂乳液外墙涂料</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jc w:val="left"/>
        <w:textAlignment w:val="baseline"/>
        <w:rPr>
          <w:spacing w:val="7"/>
          <w:position w:val="15"/>
        </w:rPr>
      </w:pPr>
      <w:r>
        <w:rPr>
          <w:spacing w:val="7"/>
          <w:position w:val="15"/>
        </w:rPr>
        <w:t>相关的法律、行政法规、部门规章、规范性文件</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jc w:val="left"/>
        <w:textAlignment w:val="baseline"/>
        <w:rPr>
          <w:spacing w:val="7"/>
          <w:position w:val="15"/>
        </w:rPr>
      </w:pPr>
      <w:r>
        <w:rPr>
          <w:spacing w:val="7"/>
          <w:position w:val="15"/>
        </w:rPr>
        <w:t>现行有效的企业标准、团体标准、地方标准及产品明示质量要求</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4"/>
        </w:rPr>
        <w:t>3.2</w:t>
      </w:r>
      <w:r>
        <w:rPr>
          <w:spacing w:val="-37"/>
        </w:rPr>
        <w:t xml:space="preserve"> </w:t>
      </w:r>
      <w:r>
        <w:rPr>
          <w:spacing w:val="4"/>
        </w:rPr>
        <w:t>判定原则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经检验，检验项目全部合格，判定为被抽查产品所检项目未发现不合格；检验项目中任</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一项或一项以上不合格，判定为被抽查产品不合</w:t>
      </w:r>
      <w:r>
        <w:rPr>
          <w:spacing w:val="8"/>
        </w:rPr>
        <w:t>格。</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若被检产品明示的质量要求高于本细则中检验项目依据的标准要求时，应按被检产品明</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示的质量要求判定。</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若被检产品明示的质量要求低于本细则中检验项目依据的强制性标准要求时，应按照强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制性标准要求判定。</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28" w:firstLineChars="200"/>
        <w:textAlignment w:val="baseline"/>
      </w:pPr>
      <w:r>
        <w:rPr>
          <w:spacing w:val="7"/>
        </w:rPr>
        <w:t>若被检产品明示的质量要求低于或包含细则中检验项目依据的推荐性标准要求时，应以</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9"/>
        </w:rPr>
        <w:t>被检产品明示的质量要求判定，但应在检验报告备注中进行说明。</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若被检产品明示的质量要求缺少本细则中检验项目依据的强制性标准要求时，应按照强</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pPr>
      <w:r>
        <w:rPr>
          <w:spacing w:val="7"/>
        </w:rPr>
        <w:t>制性标准要求判定。</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right"/>
        <w:textAlignment w:val="baseline"/>
      </w:pPr>
      <w:r>
        <w:rPr>
          <w:spacing w:val="7"/>
          <w:position w:val="15"/>
        </w:rPr>
        <w:t>若被检产品明示的质量要求缺少本细则中检验项目依据的推荐性标准要求时，该项目不</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pPr>
      <w:r>
        <w:rPr>
          <w:spacing w:val="8"/>
        </w:rPr>
        <w:t>参与判定，但应在检验报告备注中进行说明。</w:t>
      </w:r>
    </w:p>
    <w:p>
      <w:pPr>
        <w:pStyle w:val="2"/>
        <w:spacing w:line="24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p>
    <w:p>
      <w:pPr>
        <w:pStyle w:val="2"/>
        <w:spacing w:before="56" w:line="220" w:lineRule="auto"/>
        <w:ind w:left="0" w:leftChars="0" w:firstLine="0" w:firstLineChars="0"/>
        <w:outlineLvl w:val="0"/>
        <w:rPr>
          <w:rFonts w:hint="eastAsia" w:ascii="黑体" w:hAnsi="黑体" w:eastAsia="黑体" w:cs="黑体"/>
          <w:b w:val="0"/>
          <w:bCs w:val="0"/>
          <w:color w:val="000000" w:themeColor="text1"/>
          <w:spacing w:val="-4"/>
          <w:sz w:val="20"/>
          <w:szCs w:val="20"/>
          <w14:textFill>
            <w14:solidFill>
              <w14:schemeClr w14:val="tx1"/>
            </w14:solidFill>
          </w14:textFill>
        </w:rPr>
      </w:pPr>
      <w:r>
        <w:rPr>
          <w:rFonts w:hint="eastAsia" w:ascii="黑体" w:hAnsi="黑体" w:eastAsia="黑体" w:cs="黑体"/>
          <w:b w:val="0"/>
          <w:bCs w:val="0"/>
          <w:color w:val="000000" w:themeColor="text1"/>
          <w:spacing w:val="-4"/>
          <w:sz w:val="20"/>
          <w:szCs w:val="20"/>
          <w14:textFill>
            <w14:solidFill>
              <w14:schemeClr w14:val="tx1"/>
            </w14:solidFill>
          </w14:textFill>
        </w:rPr>
        <w:t>4 异议复检</w:t>
      </w:r>
    </w:p>
    <w:p>
      <w:pPr>
        <w:pStyle w:val="2"/>
        <w:spacing w:before="163" w:line="227" w:lineRule="auto"/>
        <w:ind w:left="440"/>
      </w:pPr>
      <w:r>
        <w:rPr>
          <w:spacing w:val="9"/>
        </w:rPr>
        <w:t>本细则中确定的全部检验项目，采用备用样品进行复检。</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Zjc3ZjlhMmFhNDM4OWQ1Y2M3OWYxYjE0NWM1MWRkNjgifQ=="/>
  </w:docVars>
  <w:rsids>
    <w:rsidRoot w:val="00000000"/>
    <w:rsid w:val="1225156C"/>
    <w:rsid w:val="15742447"/>
    <w:rsid w:val="1BC535AC"/>
    <w:rsid w:val="1D1057F0"/>
    <w:rsid w:val="213D6B1B"/>
    <w:rsid w:val="2A4A1F02"/>
    <w:rsid w:val="2F4A2E8F"/>
    <w:rsid w:val="36D6578C"/>
    <w:rsid w:val="48CF0203"/>
    <w:rsid w:val="49C2509E"/>
    <w:rsid w:val="577E0CE0"/>
    <w:rsid w:val="58C52932"/>
    <w:rsid w:val="61F56B4B"/>
    <w:rsid w:val="74A310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2024-03-07T09:03:00Z</dcterms:created>
  <dc:creator>Kingsoft-PDF</dc:creator>
  <cp:lastModifiedBy>叁柒肆拾玖</cp:lastModifiedBy>
  <dcterms:modified xsi:type="dcterms:W3CDTF">2024-04-03T06:41:00Z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2024-03-07T09:03:03Z</vt:filetime>
  </property>
  <property fmtid="{D5CDD505-2E9C-101B-9397-08002B2CF9AE}" pid="4" name="UsrData">
    <vt:lpwstr>65e912437d8934001f70a746wl</vt:lpwstr>
  </property>
  <property fmtid="{D5CDD505-2E9C-101B-9397-08002B2CF9AE}" pid="5" name="KSOProductBuildVer">
    <vt:lpwstr>2052-12.1.0.16412</vt:lpwstr>
  </property>
  <property fmtid="{D5CDD505-2E9C-101B-9397-08002B2CF9AE}" pid="6" name="ICV">
    <vt:lpwstr>B7BBC72A77FE46F2BA487B1E7C0A2D93_13</vt:lpwstr>
  </property>
</Properties>
</file>