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both"/>
        <w:textAlignment w:val="auto"/>
        <w:outlineLvl w:val="9"/>
        <w:rPr>
          <w:rFonts w:hint="eastAsia" w:ascii="Times New Roman" w:hAnsi="Times New Roman" w:eastAsia="宋体" w:cs="宋体"/>
          <w:i w:val="0"/>
          <w:caps w:val="0"/>
          <w:color w:val="000000" w:themeColor="text1"/>
          <w:spacing w:val="0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right="0"/>
        <w:jc w:val="both"/>
        <w:textAlignment w:val="auto"/>
        <w:outlineLvl w:val="9"/>
        <w:rPr>
          <w:rFonts w:hint="eastAsia" w:ascii="Times New Roman" w:hAnsi="Times New Roman" w:eastAsia="宋体" w:cs="宋体"/>
          <w:i w:val="0"/>
          <w:caps w:val="0"/>
          <w:color w:val="000000" w:themeColor="text1"/>
          <w:spacing w:val="0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left="0" w:right="0" w:firstLine="0"/>
        <w:jc w:val="center"/>
        <w:textAlignment w:val="auto"/>
        <w:outlineLvl w:val="9"/>
        <w:rPr>
          <w:rFonts w:hint="eastAsia" w:ascii="Times New Roman" w:hAnsi="Times New Roman" w:eastAsia="方正小标宋简体" w:cs="方正小标宋简体"/>
          <w:b w:val="0"/>
          <w:bCs/>
          <w:i w:val="0"/>
          <w:caps w:val="0"/>
          <w:color w:val="000000" w:themeColor="text1"/>
          <w:spacing w:val="0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方正小标宋简体"/>
          <w:b w:val="0"/>
          <w:bCs/>
          <w:i w:val="0"/>
          <w:caps w:val="0"/>
          <w:color w:val="000000" w:themeColor="text1"/>
          <w:spacing w:val="0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威海火炬高技术产业开发区管理委员会</w:t>
      </w:r>
    </w:p>
    <w:p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方正小标宋简体"/>
          <w:b w:val="0"/>
          <w:bCs/>
          <w:i w:val="0"/>
          <w:caps w:val="0"/>
          <w:color w:val="000000" w:themeColor="text1"/>
          <w:spacing w:val="0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方正小标宋简体"/>
          <w:b w:val="0"/>
          <w:bCs/>
          <w:i w:val="0"/>
          <w:caps w:val="0"/>
          <w:color w:val="000000" w:themeColor="text1"/>
          <w:spacing w:val="0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2022年政府信息公开工作年度报告</w:t>
      </w:r>
    </w:p>
    <w:p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left="0" w:right="0" w:firstLine="420"/>
        <w:jc w:val="both"/>
        <w:textAlignment w:val="auto"/>
        <w:outlineLvl w:val="9"/>
        <w:rPr>
          <w:rFonts w:hint="eastAsia" w:ascii="Times New Roman" w:hAnsi="Times New Roman" w:eastAsia="宋体" w:cs="宋体"/>
          <w:i w:val="0"/>
          <w:caps w:val="0"/>
          <w:color w:val="000000" w:themeColor="text1"/>
          <w:spacing w:val="0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根据《中华人民共和国政府信息公开条例》（国务院令第711号，以下简称《条例》）和《中华人民共和国政府信息公开工作年度报告格式》（国办公开办函〔2021〕30号）要求，结合202</w:t>
      </w: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威海火炬高技术产业开发区管理委员会</w:t>
      </w: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政府信息公开工作实际，编制发布本报告。</w:t>
      </w:r>
    </w:p>
    <w:p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本报告内容包括：总体情况、主动公开政府信息情况、收到和处理政府信息公开申请情况、政府信息公开行政复议、行政诉讼情况、存在的主要问题及改进情况、其他事项，以及相关指标统计附表等。报告中所列数据统计期限从202</w:t>
      </w: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年1月1日到12月31日止。报告电子版可从</w:t>
      </w:r>
      <w:r>
        <w:rPr>
          <w:rFonts w:hint="eastAsia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威海市人民政府网站（http://www.weihai.gov.cn/）和</w:t>
      </w: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威海火炬高技术产业开发区管理委员会门户网站（http://www.whctp.gov.cn）下载。公众如需进一步咨询了解相关信息，请与威海火炬高技术产业开发区党政办公室联系（地址：威海市文化西路288号，电子邮箱：whgqzwgk@wh.shandong.cn，邮政编码：264209，办公电话：0631</w:t>
      </w: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—</w:t>
      </w: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3919181）。</w:t>
      </w:r>
    </w:p>
    <w:p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" w:cs="楷体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left="0" w:leftChars="0" w:right="0" w:rightChars="0" w:firstLine="640" w:firstLineChars="200"/>
        <w:jc w:val="left"/>
        <w:textAlignment w:val="auto"/>
        <w:rPr>
          <w:rFonts w:hint="eastAsia" w:ascii="Times New Roman" w:hAnsi="Times New Roman" w:eastAsia="仿宋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2022年，高区深入贯彻落实国家和省、市关于推进政务公开工作的各项决策部署，进一步优化政务公开工作职能，</w:t>
      </w:r>
      <w:r>
        <w:rPr>
          <w:rFonts w:ascii="Times New Roman" w:hAnsi="Times New Roman" w:eastAsia="仿宋_GB2312" w:cs="Times New Roman"/>
          <w:sz w:val="32"/>
          <w:szCs w:val="32"/>
        </w:rPr>
        <w:t>不断健全公开机制，拓展公开领域，丰富公开内涵，完善公开载体，公开质量和实效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取得明显提升。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一是加强主动公开力度。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2022年，全区共公开信息14000余条，其中门户网站信息3075余条，微信公众号信息8300余条，政务微博信息2900余条。公开区党工委、管委专题会议47次，累计邀请21名公众代表参与议题审议，共涉及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Hans"/>
        </w:rPr>
        <w:t>普惠性幼儿园政策制定</w:t>
      </w:r>
      <w:r>
        <w:rPr>
          <w:rFonts w:hint="default" w:ascii="Times New Roman" w:hAnsi="Times New Roman" w:eastAsia="仿宋_GB2312" w:cs="仿宋_GB2312"/>
          <w:sz w:val="32"/>
          <w:szCs w:val="32"/>
          <w:lang w:eastAsia="zh-Hans"/>
        </w:rPr>
        <w:t>、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Hans"/>
        </w:rPr>
        <w:t>老旧小区改造投资</w:t>
      </w:r>
      <w:r>
        <w:rPr>
          <w:rFonts w:hint="default" w:ascii="Times New Roman" w:hAnsi="Times New Roman" w:eastAsia="仿宋_GB2312" w:cs="仿宋_GB2312"/>
          <w:sz w:val="32"/>
          <w:szCs w:val="32"/>
          <w:lang w:eastAsia="zh-Hans"/>
        </w:rPr>
        <w:t>、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调整村级建制</w:t>
      </w:r>
      <w:r>
        <w:rPr>
          <w:rFonts w:hint="default"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Hans"/>
        </w:rPr>
        <w:t>报告乡村振兴情况及食品安全监管情况</w:t>
      </w:r>
      <w:r>
        <w:rPr>
          <w:rFonts w:hint="default" w:ascii="Times New Roman" w:hAnsi="Times New Roman" w:eastAsia="仿宋_GB2312" w:cs="仿宋_GB2312"/>
          <w:sz w:val="32"/>
          <w:szCs w:val="32"/>
          <w:lang w:eastAsia="zh-Hans"/>
        </w:rPr>
        <w:t>5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Hans"/>
        </w:rPr>
        <w:t>个领域</w:t>
      </w:r>
      <w:r>
        <w:rPr>
          <w:rFonts w:hint="default" w:ascii="Times New Roman" w:hAnsi="Times New Roman" w:eastAsia="仿宋_GB2312" w:cs="仿宋_GB2312"/>
          <w:sz w:val="32"/>
          <w:szCs w:val="32"/>
          <w:lang w:eastAsia="zh-Hans"/>
        </w:rPr>
        <w:t>。发布政策文件12件，发布解读材料33件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，解读率达到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275%，其中领导干部带头解读政策11次。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二是提升依申请公开办理质效。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2022年，高区共收到并处理政府信息公开申请30</w:t>
      </w:r>
      <w:r>
        <w:rPr>
          <w:rFonts w:hint="eastAsia" w:eastAsia="仿宋_GB2312" w:cs="仿宋_GB2312"/>
          <w:color w:val="auto"/>
          <w:sz w:val="32"/>
          <w:szCs w:val="32"/>
          <w:highlight w:val="none"/>
          <w:lang w:val="en-US" w:eastAsia="zh-CN"/>
        </w:rPr>
        <w:t>件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val="en-US" w:eastAsia="zh-CN"/>
        </w:rPr>
        <w:t>，</w:t>
      </w:r>
      <w:r>
        <w:rPr>
          <w:rFonts w:hint="eastAsia" w:eastAsia="仿宋_GB2312" w:cs="仿宋_GB2312"/>
          <w:sz w:val="32"/>
          <w:szCs w:val="32"/>
          <w:lang w:val="en-US" w:eastAsia="zh-CN"/>
        </w:rPr>
        <w:t>申请内容主要集中在土地征收和市场监管领域，</w:t>
      </w:r>
      <w:r>
        <w:rPr>
          <w:rFonts w:hint="eastAsia" w:eastAsia="仿宋_GB2312" w:cs="仿宋_GB2312"/>
          <w:color w:val="auto"/>
          <w:sz w:val="32"/>
          <w:szCs w:val="32"/>
          <w:highlight w:val="none"/>
          <w:lang w:val="en-US" w:eastAsia="zh-CN"/>
        </w:rPr>
        <w:t>年内办理并回复27件，3件结转至下一年度接续办理，目前均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按时予以答复，未发生因信息公开而导致行政败诉案件。明确以“管委会+3个镇街”作为政府信息依申请公开的答复主体，通过调整网上依申请公开端口、修改政府信息公开指南、调整政务服务网服务事项3项措施，建立网上申请流转、完善协助调查报告、收件主动报备3项协调机制，确保对申请人依法作出答复。2022年，共办理依申请公开协助调查3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left="0" w:leftChars="0" w:right="0" w:rightChars="0"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三是强化政府信息管理。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严格落实信息发布保密审查制度，坚持“谁产生、谁提供、谁负责”原则，加强政务信息发布审核把关；严格落实公开属性源头认定机制，严格审查政府信息内容，从文件拟制起草环节确定信息公开属性，确保落实“公开为常态、不公开为例外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right="0" w:rightChars="0" w:firstLine="640" w:firstLineChars="200"/>
        <w:jc w:val="left"/>
        <w:textAlignment w:val="auto"/>
        <w:rPr>
          <w:rFonts w:hint="default" w:ascii="Times New Roman" w:hAnsi="Times New Roman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四是持续优化平台建设。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制定《高区2022年主动公开基本目录》，对重点领域信息公开组配目录进行调整，推进信息公开内容不断优化。健全新媒体监管机制，定期对错敏词及更新超期问题进行监管，提前监测预警，打造政务新媒体矩阵协同发声，传播党和政府声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五是健全监督保障机制。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强化组织领导，管委主要负责同志多次听取和研究政务公开工作，亲自作出批示推进实施。制定并印发《2022年高区政务公开重点工作及责任分工方案》《高区2022年度政务公开工作考评细则》，确保年度工作平稳有序推进。组织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开展政务公开、政务新媒体专题培训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4次，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累计培训110余人次，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有力促进了政务公开工作落实。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textAlignment w:val="auto"/>
        <w:rPr>
          <w:rFonts w:hint="eastAsia" w:ascii="Times New Roman" w:hAnsi="Times New Roman" w:eastAsia="黑体" w:cs="黑体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黑体" w:cs="黑体"/>
          <w:color w:val="auto"/>
          <w:sz w:val="32"/>
          <w:szCs w:val="32"/>
          <w:lang w:eastAsia="zh-CN"/>
        </w:rPr>
        <w:t>二、主动公开政府信息情况</w:t>
      </w:r>
    </w:p>
    <w:tbl>
      <w:tblPr>
        <w:tblStyle w:val="7"/>
        <w:tblpPr w:leftFromText="180" w:rightFromText="180" w:vertAnchor="text" w:horzAnchor="page" w:tblpX="1633" w:tblpY="462"/>
        <w:tblOverlap w:val="never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1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ind w:firstLine="840" w:firstLineChars="400"/>
              <w:jc w:val="left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Calibri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Calibri"/>
                <w:color w:val="000000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ind w:firstLine="420" w:firstLineChars="200"/>
              <w:jc w:val="left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Calibri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color w:val="000000"/>
                <w:kern w:val="0"/>
                <w:sz w:val="21"/>
                <w:szCs w:val="21"/>
                <w:lang w:val="en-US" w:eastAsia="zh-CN"/>
              </w:rPr>
              <w:t>15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1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ind w:firstLine="630" w:firstLineChars="300"/>
              <w:jc w:val="left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Calibri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color w:val="000000"/>
                <w:kern w:val="0"/>
                <w:sz w:val="21"/>
                <w:szCs w:val="21"/>
                <w:lang w:val="en-US" w:eastAsia="zh-CN"/>
              </w:rPr>
              <w:t>23981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1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ind w:firstLine="630" w:firstLineChars="300"/>
              <w:jc w:val="left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>1065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ind w:firstLine="630" w:firstLineChars="300"/>
              <w:jc w:val="left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32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1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ind w:firstLine="210" w:firstLineChars="100"/>
              <w:jc w:val="left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Calibri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color w:val="000000"/>
                <w:kern w:val="0"/>
                <w:sz w:val="21"/>
                <w:szCs w:val="21"/>
                <w:lang w:val="en-US" w:eastAsia="zh-CN"/>
              </w:rPr>
              <w:t>1057.88</w:t>
            </w:r>
          </w:p>
        </w:tc>
      </w:tr>
    </w:tbl>
    <w:p>
      <w:pPr>
        <w:ind w:firstLine="640" w:firstLineChars="200"/>
        <w:rPr>
          <w:rFonts w:hint="eastAsia" w:ascii="Times New Roman" w:hAnsi="Times New Roman" w:eastAsia="黑体" w:cs="黑体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黑体" w:cs="黑体"/>
          <w:color w:val="auto"/>
          <w:sz w:val="32"/>
          <w:szCs w:val="32"/>
          <w:highlight w:val="none"/>
          <w:lang w:eastAsia="zh-CN"/>
        </w:rPr>
        <w:t>三、收到和处理政府信息公开申请情况</w:t>
      </w:r>
    </w:p>
    <w:tbl>
      <w:tblPr>
        <w:tblStyle w:val="7"/>
        <w:tblW w:w="9913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829"/>
        <w:gridCol w:w="567"/>
        <w:gridCol w:w="567"/>
        <w:gridCol w:w="731"/>
        <w:gridCol w:w="708"/>
        <w:gridCol w:w="567"/>
        <w:gridCol w:w="851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eastAsia="楷体_GB2312" w:cs="Times New Roman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楷体_GB2312" w:cs="Times New Roman"/>
                <w:kern w:val="0"/>
                <w:sz w:val="21"/>
                <w:szCs w:val="21"/>
                <w:highlight w:val="none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楷体_GB2312" w:cs="Times New Roman"/>
                <w:kern w:val="0"/>
                <w:sz w:val="21"/>
                <w:szCs w:val="21"/>
                <w:highlight w:val="none"/>
              </w:rPr>
              <w:t>等于第三项加第四项之和）</w:t>
            </w:r>
          </w:p>
        </w:tc>
        <w:tc>
          <w:tcPr>
            <w:tcW w:w="482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82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自然人</w:t>
            </w:r>
          </w:p>
        </w:tc>
        <w:tc>
          <w:tcPr>
            <w:tcW w:w="314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法人或其他组织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82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62" w:leftChars="-51" w:right="-163" w:rightChars="-51" w:hanging="1"/>
              <w:jc w:val="center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商业企业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63" w:leftChars="-51" w:right="-163" w:rightChars="-51"/>
              <w:jc w:val="center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科研机构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63" w:leftChars="-51" w:right="-163" w:rightChars="-51"/>
              <w:jc w:val="center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社会公益组织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62" w:leftChars="-51" w:right="-163" w:rightChars="-51" w:hanging="1"/>
              <w:jc w:val="center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法律服务机构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96" w:leftChars="-30" w:right="-205" w:rightChars="-64"/>
              <w:jc w:val="center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其他</w:t>
            </w:r>
          </w:p>
        </w:tc>
        <w:tc>
          <w:tcPr>
            <w:tcW w:w="85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一、</w:t>
            </w:r>
            <w:bookmarkStart w:id="0" w:name="_Hlk66973412"/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本年新收政府信息公开申请数量</w:t>
            </w:r>
            <w:bookmarkEnd w:id="0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29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30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二、上年结转政府信息公开申请数量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（一）予以公开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4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（二）部分公开（</w:t>
            </w:r>
            <w:bookmarkStart w:id="1" w:name="_Hlk66973981"/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区分处理的，只计这一情形，不计其他情形</w:t>
            </w:r>
            <w:bookmarkEnd w:id="1"/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）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7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63" w:leftChars="-51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1.属于国家秘密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2.</w:t>
            </w:r>
            <w:bookmarkStart w:id="2" w:name="_Hlk66974104"/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其他法律行政法规禁止公开</w:t>
            </w:r>
            <w:bookmarkEnd w:id="2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3.危及“三安全一稳定”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4.</w:t>
            </w:r>
            <w:bookmarkStart w:id="3" w:name="_Hlk66974290"/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保护第三方合法权益</w:t>
            </w:r>
            <w:bookmarkEnd w:id="3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5.属于三类内部事务信息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6.</w:t>
            </w:r>
            <w:bookmarkStart w:id="4" w:name="_Hlk66974555"/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属于四类过程性信息</w:t>
            </w:r>
            <w:bookmarkEnd w:id="4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7.属于行政执法案卷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8.</w:t>
            </w:r>
            <w:bookmarkStart w:id="5" w:name="_Hlk66975211"/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属于行政查询事项</w:t>
            </w:r>
            <w:bookmarkEnd w:id="5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63" w:leftChars="-51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1.本机关不掌握相关政府信息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13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14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63" w:leftChars="-51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2.</w:t>
            </w:r>
            <w:bookmarkStart w:id="6" w:name="_Hlk66975392"/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没有现成信息需要另行制作</w:t>
            </w:r>
            <w:bookmarkEnd w:id="6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63" w:leftChars="-51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3.</w:t>
            </w:r>
            <w:bookmarkStart w:id="7" w:name="_Hlk66975466"/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补正后申请内容仍不明确</w:t>
            </w:r>
            <w:bookmarkEnd w:id="7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63" w:leftChars="-51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1.</w:t>
            </w:r>
            <w:bookmarkStart w:id="8" w:name="_Hlk66975537"/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信访举报投诉类申请</w:t>
            </w:r>
            <w:bookmarkEnd w:id="8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2.重复申请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3.要求提供公开出版物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4.无正当理由大量反复申请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  <w:t>出具已获取信息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Times New Roman" w:hAnsi="Times New Roman" w:eastAsia="仿宋_GB2312" w:cs="Times New Roman"/>
                <w:sz w:val="21"/>
                <w:szCs w:val="22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2"/>
                <w:highlight w:val="none"/>
              </w:rPr>
              <w:t>1.申请人无正当理由逾期不补正、行政机关不再处理其政府信息公开申请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2"/>
                <w:highlight w:val="none"/>
              </w:rPr>
              <w:t>2.申请人逾期未按收费通知要求缴纳费用、行政机关不再处理其政府信息公开申请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2"/>
                <w:highlight w:val="none"/>
              </w:rPr>
              <w:t>3.其他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1"/>
                <w:szCs w:val="21"/>
                <w:highlight w:val="none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（七）总计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26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27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  <w:highlight w:val="none"/>
              </w:rPr>
              <w:t>四、结转下年度继续办理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3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3</w:t>
            </w:r>
          </w:p>
        </w:tc>
      </w:tr>
    </w:tbl>
    <w:p>
      <w:pPr>
        <w:ind w:firstLine="640" w:firstLineChars="200"/>
        <w:rPr>
          <w:rFonts w:hint="eastAsia" w:ascii="Times New Roman" w:hAnsi="Times New Roman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color w:val="auto"/>
          <w:sz w:val="32"/>
          <w:szCs w:val="32"/>
          <w:lang w:val="en-US" w:eastAsia="zh-CN"/>
        </w:rPr>
        <w:t>四、政府信息公开行政复议、行政诉讼情况</w:t>
      </w:r>
    </w:p>
    <w:tbl>
      <w:tblPr>
        <w:tblStyle w:val="7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227" w:leftChars="-71" w:right="-259" w:rightChars="-81"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227" w:leftChars="-71" w:right="-259" w:rightChars="-81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6" w:leftChars="-21" w:right="-202" w:rightChars="-63" w:hanging="1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5" w:leftChars="-39" w:right="-147" w:rightChars="-46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9" w:leftChars="-56" w:right="-179" w:rightChars="-56"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79" w:leftChars="-56" w:right="-179" w:rightChars="-56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bookmarkStart w:id="9" w:name="_Hlk67039688"/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4"/>
                <w:szCs w:val="22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4"/>
                <w:szCs w:val="22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4"/>
                <w:szCs w:val="22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4"/>
                <w:szCs w:val="22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eastAsia="黑体" w:cs="Times New Roman"/>
                <w:sz w:val="24"/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0" w:leftChars="-50" w:right="-192" w:rightChars="-60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1" w:leftChars="-41" w:right="-134" w:rightChars="-42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92" w:leftChars="-60" w:right="-208" w:rightChars="-65"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92" w:leftChars="-60" w:right="-208" w:rightChars="-65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250" w:leftChars="-78" w:right="-234" w:rightChars="-73"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250" w:leftChars="-78" w:right="-234" w:rightChars="-73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50" w:leftChars="-47" w:right="-118" w:rightChars="-37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208" w:leftChars="-65" w:right="-189" w:rightChars="-59"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208" w:leftChars="-65" w:right="-189" w:rightChars="-59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265" w:leftChars="-83" w:right="-205" w:rightChars="-64" w:hanging="1"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265" w:leftChars="-83" w:right="-205" w:rightChars="-64" w:hanging="1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4" w:leftChars="-33" w:right="-160" w:rightChars="-50" w:hanging="2" w:hangingChars="1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textAlignment w:val="auto"/>
        <w:rPr>
          <w:rFonts w:hint="eastAsia" w:ascii="Times New Roman" w:hAnsi="Times New Roman" w:eastAsia="黑体" w:cs="黑体"/>
          <w:color w:val="auto"/>
          <w:sz w:val="32"/>
          <w:szCs w:val="32"/>
          <w:lang w:val="en" w:eastAsia="zh-CN"/>
        </w:rPr>
      </w:pPr>
      <w:r>
        <w:rPr>
          <w:rFonts w:hint="eastAsia" w:ascii="Times New Roman" w:hAnsi="Times New Roman" w:eastAsia="黑体" w:cs="黑体"/>
          <w:color w:val="auto"/>
          <w:sz w:val="32"/>
          <w:szCs w:val="32"/>
          <w:lang w:val="en" w:eastAsia="zh-CN"/>
        </w:rPr>
        <w:t>五、存在的主要问题及改进情况</w:t>
      </w:r>
      <w:bookmarkStart w:id="10" w:name="_GoBack"/>
      <w:bookmarkEnd w:id="1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textAlignment w:val="auto"/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  <w:t>（一）主要问题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2022年，高区政府信息公开工作虽取得了一定进展，但整体水平与公众期望相比仍有一定差距，仍存在政务新媒体运营力度不够、会议与政策解读形式单一、主动公开内容不规范等问题。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textAlignment w:val="auto"/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  <w:t>（二）改进措施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是推动政务新媒体建设规范化。严格执行内容发布审核制度，坚持分级分类审核，避免出现政务新媒体功能定位不清、信息质量不高、审核把关不严、管理底数不清等问题。加大新媒体备案审查力度，杜绝未报备即上线启用的情况，严格落实主体责任、确定专人运维，确保各部门政务新媒体安全有序运行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二是提升解读多样性。明确政策解读工作要求，包括解读主体、解读程序、解读范围、解读形式、解读内容等，提高政策解读工作的规范化水平。运用在线访谈、视频解读、新闻发布会等政策解读形式，凡主动公开的政策性文件均配发解读，增强文件可读性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三是推动主动公开内容规范化。动态调整《高区主动公开基本目录》，对网站组配栏目进行优化。建立政府信息公开属性源头认定机制，拟定公文时确定信息公开属性。建立健全政府信息动态更新调整机制，及时更新信息内容，按年度对未公开的政府信息进行评估，对因情势变化可以公开的及时予以公开，对失效、废止的政府信息定期清理，及时公开清理结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textAlignment w:val="auto"/>
        <w:rPr>
          <w:rFonts w:hint="eastAsia" w:ascii="Times New Roman" w:hAnsi="Times New Roman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color w:val="auto"/>
          <w:sz w:val="32"/>
          <w:szCs w:val="32"/>
          <w:lang w:val="en-US" w:eastAsia="zh-CN"/>
        </w:rPr>
        <w:t>六、其他需要报告的事项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  <w:t>（一）政府信息公开申请收费情况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2022年，高区无收取政府信息公开处理费相关情况。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  <w:t>（二）落实上级年度政务公开工作要点情况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制定并印发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《2022年高区政务公开重点工作及责任分工方案》，</w:t>
      </w: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在政府信息公开专栏上</w:t>
      </w:r>
      <w:r>
        <w:rPr>
          <w:rFonts w:hint="eastAsia" w:ascii="Times New Roman" w:hAnsi="Times New Roman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动态调整主动公开目录，增设扩大有效投资、行政执法公示、社会救助、稳岗就业等专栏，加大重点领域信息宣传力度，有效保障了群众知情权。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  <w:t>（三）人大代表建议和政协提案办理结果公开情况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2022年，高区会同主办单位办理人大代表建议2件，政协委员提案1件，均将办理结果报至主办单位并由主办单位进行了公示。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  <w:t>（四）政务公开工作创新情况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一是政民互动成效显著。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组织开展“阳光透明·公开入威”政府开放日活动1</w:t>
      </w:r>
      <w:r>
        <w:rPr>
          <w:rFonts w:hint="default" w:ascii="Times New Roman" w:hAnsi="Times New Roman" w:eastAsia="仿宋_GB2312" w:cs="仿宋_GB2312"/>
          <w:sz w:val="32"/>
          <w:szCs w:val="32"/>
          <w:lang w:eastAsia="zh-CN"/>
        </w:rPr>
        <w:t>4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场，邀请企业代表及群众</w:t>
      </w:r>
      <w:r>
        <w:rPr>
          <w:rFonts w:hint="default" w:ascii="Times New Roman" w:hAnsi="Times New Roman" w:eastAsia="仿宋_GB2312" w:cs="仿宋_GB2312"/>
          <w:sz w:val="32"/>
          <w:szCs w:val="32"/>
          <w:lang w:eastAsia="zh-CN"/>
        </w:rPr>
        <w:t>673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人次，推动行政执法、政务服务、改善民生等领域与政务公开深度融合，广泛了解企业群众诉求，征集意见建议142条并采纳85条，解答热点难点问题108个，做好意见建议的办理和反馈工作，搭建政府与企业、群众之间沟通的桥梁。二是打造高区特色公开品牌。上线了“照单收、高兴办”服务平台，以企业群众眼中的“一件事”为导向，创新推出“场景式”政务引导视频100余条，实现“桌面公开”向“掌上公开”转变；深化数据赋能，优化创新政务流程，大力推进减证明、减材料、免证办、码上办，综合运用直接取消、数据共享、告知承诺、部门核验等方式，实现200余个事项“免证办”，年均可免提交材料10余万件，实现“群众跑腿”向“数据跑腿”转变。三是深度谋划政务公开专区建设。以数字化改革为契机，深入推进政务公开“集成化、掌上化、智慧化”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val="en-US" w:eastAsia="zh-CN"/>
        </w:rPr>
        <w:t>加强与“爱山东”APP、山东政务服务网的互通互联。通过手机端微信取号，实现远程智能预约，减少群众排队等候时长99%，实现“即来即办”。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  <w:t>（五）需要报告的其他事项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ind w:firstLine="640" w:firstLineChars="200"/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701" w:right="1474" w:bottom="1134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c3NDIzMGEwZWEzYTBlNjM1ZmFmZTdiY2EzZDcxZDQifQ=="/>
  </w:docVars>
  <w:rsids>
    <w:rsidRoot w:val="58AE58CA"/>
    <w:rsid w:val="013C0ABC"/>
    <w:rsid w:val="03EFBA11"/>
    <w:rsid w:val="09C873F6"/>
    <w:rsid w:val="0FE2420B"/>
    <w:rsid w:val="10796548"/>
    <w:rsid w:val="10DE16CE"/>
    <w:rsid w:val="1642699C"/>
    <w:rsid w:val="1D3E0C97"/>
    <w:rsid w:val="2DC450A2"/>
    <w:rsid w:val="2DD9477C"/>
    <w:rsid w:val="3BEEBF49"/>
    <w:rsid w:val="3CF532EA"/>
    <w:rsid w:val="3D7FDCFC"/>
    <w:rsid w:val="3EAAC2FD"/>
    <w:rsid w:val="48D67825"/>
    <w:rsid w:val="58AE58CA"/>
    <w:rsid w:val="5AEC4016"/>
    <w:rsid w:val="5BA15D8D"/>
    <w:rsid w:val="5D3107F8"/>
    <w:rsid w:val="5F5FCCF3"/>
    <w:rsid w:val="5FDFC01D"/>
    <w:rsid w:val="5FEB3659"/>
    <w:rsid w:val="63E30B7B"/>
    <w:rsid w:val="671A1327"/>
    <w:rsid w:val="6A374D04"/>
    <w:rsid w:val="6F5FABBE"/>
    <w:rsid w:val="7263671B"/>
    <w:rsid w:val="738C17CA"/>
    <w:rsid w:val="767C1FFA"/>
    <w:rsid w:val="77FB30FD"/>
    <w:rsid w:val="78D95F14"/>
    <w:rsid w:val="79BD6937"/>
    <w:rsid w:val="7A1222FF"/>
    <w:rsid w:val="7BABF195"/>
    <w:rsid w:val="7D7D78DB"/>
    <w:rsid w:val="7E5044D0"/>
    <w:rsid w:val="7E54528C"/>
    <w:rsid w:val="7F5F6676"/>
    <w:rsid w:val="7F9369DF"/>
    <w:rsid w:val="7FB44E4D"/>
    <w:rsid w:val="7FD3BB0D"/>
    <w:rsid w:val="7FF9BD11"/>
    <w:rsid w:val="8B936500"/>
    <w:rsid w:val="97EE0FEB"/>
    <w:rsid w:val="9876FB8A"/>
    <w:rsid w:val="DBDE133E"/>
    <w:rsid w:val="DFDECF42"/>
    <w:rsid w:val="DFFCC20D"/>
    <w:rsid w:val="EFBF86A2"/>
    <w:rsid w:val="FEFFCF1B"/>
    <w:rsid w:val="FF27AFEE"/>
    <w:rsid w:val="FFF77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Theme="minorEastAsia" w:cstheme="minorBidi"/>
      <w:kern w:val="2"/>
      <w:sz w:val="32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Body Text"/>
    <w:basedOn w:val="1"/>
    <w:qFormat/>
    <w:uiPriority w:val="1"/>
    <w:pPr>
      <w:spacing w:before="1"/>
      <w:ind w:left="106"/>
    </w:pPr>
    <w:rPr>
      <w:rFonts w:ascii="仿宋_GB2312" w:hAnsi="仿宋_GB2312" w:eastAsia="仿宋_GB2312" w:cs="仿宋_GB2312"/>
      <w:sz w:val="36"/>
      <w:szCs w:val="36"/>
      <w:lang w:val="zh-CN" w:bidi="zh-CN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3421</Words>
  <Characters>3638</Characters>
  <Lines>0</Lines>
  <Paragraphs>0</Paragraphs>
  <TotalTime>140</TotalTime>
  <ScaleCrop>false</ScaleCrop>
  <LinksUpToDate>false</LinksUpToDate>
  <CharactersWithSpaces>3638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2020-01-15T03:04:00Z</dcterms:created>
  <dc:creator>Administrator</dc:creator>
  <cp:lastModifiedBy>宋小仙</cp:lastModifiedBy>
  <cp:lastPrinted>2023-02-16T00:16:00Z</cp:lastPrinted>
  <dcterms:modified xsi:type="dcterms:W3CDTF">2023-02-28T00:39:06Z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0DC8FE4B57AB4945A7DD2127053493D7</vt:lpwstr>
  </property>
</Properties>
</file>