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47DB8">
      <w:pPr>
        <w:tabs>
          <w:tab w:val="center" w:pos="4507"/>
        </w:tabs>
        <w:spacing w:line="578" w:lineRule="exact"/>
        <w:jc w:val="left"/>
        <w:rPr>
          <w:rFonts w:ascii="宋体" w:hAnsi="宋体"/>
          <w:sz w:val="44"/>
        </w:rPr>
      </w:pPr>
      <w:r>
        <w:rPr>
          <w:rFonts w:ascii="宋体" w:hAnsi="宋体"/>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14:paraId="5AA6079A">
      <w:pPr>
        <w:adjustRightInd w:val="0"/>
        <w:snapToGrid w:val="0"/>
        <w:spacing w:line="578" w:lineRule="exact"/>
        <w:jc w:val="center"/>
        <w:rPr>
          <w:rFonts w:eastAsia="方正小标宋简体"/>
          <w:sz w:val="44"/>
          <w:szCs w:val="44"/>
        </w:rPr>
      </w:pPr>
      <w:r>
        <w:rPr>
          <w:rFonts w:eastAsia="方正小标宋简体"/>
          <w:sz w:val="44"/>
          <w:szCs w:val="44"/>
        </w:rPr>
        <w:t>威海火炬高技术产业开发区管理委员会</w:t>
      </w:r>
    </w:p>
    <w:p w14:paraId="328F7D5A">
      <w:pPr>
        <w:adjustRightInd w:val="0"/>
        <w:snapToGrid w:val="0"/>
        <w:spacing w:line="578" w:lineRule="exact"/>
        <w:jc w:val="center"/>
        <w:rPr>
          <w:rFonts w:hint="eastAsia" w:eastAsia="方正小标宋简体"/>
          <w:sz w:val="44"/>
          <w:szCs w:val="44"/>
          <w:lang w:val="en-US" w:eastAsia="zh-CN"/>
        </w:rPr>
      </w:pPr>
      <w:r>
        <w:rPr>
          <w:rFonts w:hint="eastAsia" w:eastAsia="方正小标宋简体"/>
          <w:sz w:val="44"/>
          <w:szCs w:val="44"/>
          <w:lang w:val="en-US" w:eastAsia="zh-CN"/>
        </w:rPr>
        <w:t>关于继续执行《威海火炬高技术产业开发区</w:t>
      </w:r>
    </w:p>
    <w:p w14:paraId="6BC99FE0">
      <w:pPr>
        <w:adjustRightInd w:val="0"/>
        <w:snapToGrid w:val="0"/>
        <w:spacing w:line="578" w:lineRule="exact"/>
        <w:jc w:val="center"/>
        <w:rPr>
          <w:rFonts w:hint="default" w:eastAsia="方正小标宋简体"/>
          <w:spacing w:val="-28"/>
          <w:sz w:val="44"/>
          <w:szCs w:val="44"/>
          <w:lang w:val="en-US" w:eastAsia="zh-CN"/>
        </w:rPr>
      </w:pPr>
      <w:r>
        <w:rPr>
          <w:rFonts w:hint="eastAsia" w:eastAsia="方正小标宋简体"/>
          <w:sz w:val="44"/>
          <w:szCs w:val="44"/>
          <w:lang w:val="en-US" w:eastAsia="zh-CN"/>
        </w:rPr>
        <w:t>档案工作管理办法》等区管委行政规范性文件的决定</w:t>
      </w:r>
    </w:p>
    <w:p w14:paraId="3D582293">
      <w:pPr>
        <w:snapToGrid w:val="0"/>
        <w:spacing w:line="578" w:lineRule="exact"/>
        <w:jc w:val="left"/>
        <w:rPr>
          <w:rFonts w:eastAsia="仿宋_GB2312"/>
          <w:sz w:val="32"/>
        </w:rPr>
      </w:pPr>
    </w:p>
    <w:p w14:paraId="04F92F27">
      <w:pPr>
        <w:keepNext w:val="0"/>
        <w:keepLines w:val="0"/>
        <w:pageBreakBefore w:val="0"/>
        <w:widowControl w:val="0"/>
        <w:kinsoku/>
        <w:wordWrap/>
        <w:overflowPunct/>
        <w:topLinePunct w:val="0"/>
        <w:autoSpaceDE/>
        <w:autoSpaceDN/>
        <w:bidi w:val="0"/>
        <w:adjustRightInd/>
        <w:snapToGrid w:val="0"/>
        <w:spacing w:line="578" w:lineRule="exact"/>
        <w:jc w:val="left"/>
        <w:textAlignment w:val="auto"/>
        <w:rPr>
          <w:rFonts w:hint="eastAsia" w:eastAsia="仿宋_GB2312"/>
          <w:sz w:val="32"/>
          <w:lang w:eastAsia="zh-CN"/>
        </w:rPr>
      </w:pPr>
      <w:r>
        <w:rPr>
          <w:rFonts w:hint="eastAsia" w:eastAsia="仿宋_GB2312"/>
          <w:sz w:val="32"/>
          <w:lang w:val="en-US" w:eastAsia="zh-CN"/>
        </w:rPr>
        <w:t>区直有关部门，各镇、街道，驻区有关单位</w:t>
      </w:r>
      <w:r>
        <w:rPr>
          <w:rFonts w:hint="eastAsia" w:eastAsia="仿宋_GB2312"/>
          <w:sz w:val="32"/>
          <w:lang w:eastAsia="zh-CN"/>
        </w:rPr>
        <w:t>：</w:t>
      </w:r>
    </w:p>
    <w:p w14:paraId="720DEEC1">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根据《山东省行政规范性文件制定和监督管理办法》《山东省行政规范性文件评估暂行办法》等有关规定，经评估，决定《威海火炬高技术产业开发区档案工作管理办法》等</w:t>
      </w:r>
      <w:r>
        <w:rPr>
          <w:rFonts w:hint="default" w:ascii="Times New Roman" w:hAnsi="Times New Roman" w:eastAsia="仿宋_GB2312" w:cs="Times New Roman"/>
          <w:sz w:val="32"/>
          <w:szCs w:val="32"/>
          <w:lang w:val="en-US" w:eastAsia="zh-CN"/>
        </w:rPr>
        <w:t>4</w:t>
      </w:r>
      <w:r>
        <w:rPr>
          <w:rFonts w:hint="eastAsia" w:ascii="仿宋_GB2312" w:eastAsia="仿宋_GB2312"/>
          <w:sz w:val="32"/>
          <w:szCs w:val="32"/>
          <w:lang w:val="en-US" w:eastAsia="zh-CN"/>
        </w:rPr>
        <w:t>件区管委行政规范性文件继续执行。继续执行的区管委行政规范性文件，不再标注有效期。</w:t>
      </w:r>
    </w:p>
    <w:p w14:paraId="4929D9F9">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p>
    <w:p w14:paraId="5A87B17B">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附件：继续执行的区管委行政规范性文件目录。</w:t>
      </w:r>
    </w:p>
    <w:p w14:paraId="698149AF">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ascii="仿宋_GB2312" w:eastAsia="仿宋_GB2312"/>
          <w:sz w:val="32"/>
          <w:szCs w:val="32"/>
        </w:rPr>
      </w:pPr>
    </w:p>
    <w:p w14:paraId="76094EE7">
      <w:pPr>
        <w:keepNext w:val="0"/>
        <w:keepLines w:val="0"/>
        <w:pageBreakBefore w:val="0"/>
        <w:widowControl w:val="0"/>
        <w:kinsoku/>
        <w:wordWrap/>
        <w:overflowPunct/>
        <w:topLinePunct w:val="0"/>
        <w:autoSpaceDE/>
        <w:autoSpaceDN/>
        <w:bidi w:val="0"/>
        <w:adjustRightInd/>
        <w:spacing w:line="578" w:lineRule="exact"/>
        <w:ind w:firstLine="3200" w:firstLineChars="1000"/>
        <w:textAlignment w:val="auto"/>
        <w:rPr>
          <w:rFonts w:ascii="仿宋_GB2312" w:eastAsia="仿宋_GB2312" w:cs="仿宋_GB2312"/>
          <w:sz w:val="32"/>
          <w:szCs w:val="32"/>
        </w:rPr>
      </w:pPr>
      <w:r>
        <w:rPr>
          <w:rFonts w:hint="eastAsia" w:ascii="仿宋_GB2312" w:eastAsia="仿宋_GB2312" w:cs="仿宋_GB2312"/>
          <w:sz w:val="32"/>
          <w:szCs w:val="32"/>
        </w:rPr>
        <w:t>威海火炬高技术产业开发区管理委员会</w:t>
      </w:r>
    </w:p>
    <w:p w14:paraId="4836DAA4">
      <w:pPr>
        <w:keepNext w:val="0"/>
        <w:keepLines w:val="0"/>
        <w:pageBreakBefore w:val="0"/>
        <w:widowControl w:val="0"/>
        <w:kinsoku/>
        <w:wordWrap/>
        <w:overflowPunct/>
        <w:topLinePunct w:val="0"/>
        <w:autoSpaceDE/>
        <w:autoSpaceDN/>
        <w:bidi w:val="0"/>
        <w:adjustRightInd/>
        <w:spacing w:line="578" w:lineRule="exact"/>
        <w:ind w:firstLine="4800" w:firstLineChars="1500"/>
        <w:textAlignment w:val="auto"/>
        <w:rPr>
          <w:rFonts w:ascii="仿宋_GB2312" w:eastAsia="仿宋_GB2312" w:cs="仿宋_GB2312"/>
          <w:sz w:val="32"/>
          <w:szCs w:val="32"/>
        </w:rPr>
      </w:pPr>
      <w:r>
        <w:rPr>
          <w:rFonts w:eastAsia="仿宋_GB2312"/>
          <w:sz w:val="32"/>
          <w:szCs w:val="32"/>
        </w:rPr>
        <w:t>20</w:t>
      </w:r>
      <w:r>
        <w:rPr>
          <w:rFonts w:hint="eastAsia" w:eastAsia="仿宋_GB2312"/>
          <w:sz w:val="32"/>
          <w:szCs w:val="32"/>
          <w:lang w:val="en-US" w:eastAsia="zh-CN"/>
        </w:rPr>
        <w:t>25</w:t>
      </w:r>
      <w:r>
        <w:rPr>
          <w:rFonts w:hint="eastAsia" w:ascii="仿宋_GB2312" w:eastAsia="仿宋_GB2312" w:cs="仿宋_GB2312"/>
          <w:sz w:val="32"/>
          <w:szCs w:val="32"/>
        </w:rPr>
        <w:t>年</w:t>
      </w:r>
      <w:r>
        <w:rPr>
          <w:rFonts w:hint="eastAsia" w:eastAsia="仿宋_GB2312" w:cs="Times New Roman"/>
          <w:sz w:val="32"/>
          <w:szCs w:val="32"/>
          <w:lang w:val="en-US" w:eastAsia="zh-CN"/>
        </w:rPr>
        <w:t>6</w:t>
      </w:r>
      <w:r>
        <w:rPr>
          <w:rFonts w:hint="default" w:ascii="Times New Roman" w:hAnsi="Times New Roman" w:eastAsia="仿宋_GB2312" w:cs="Times New Roman"/>
          <w:sz w:val="32"/>
          <w:szCs w:val="32"/>
        </w:rPr>
        <w:t>月</w:t>
      </w:r>
      <w:r>
        <w:rPr>
          <w:rFonts w:hint="eastAsia" w:eastAsia="仿宋_GB2312" w:cs="Times New Roman"/>
          <w:sz w:val="32"/>
          <w:szCs w:val="32"/>
          <w:lang w:val="en-US" w:eastAsia="zh-CN"/>
        </w:rPr>
        <w:t>26</w:t>
      </w:r>
      <w:r>
        <w:rPr>
          <w:rFonts w:hint="eastAsia" w:ascii="仿宋_GB2312" w:eastAsia="仿宋_GB2312" w:cs="仿宋_GB2312"/>
          <w:sz w:val="32"/>
          <w:szCs w:val="32"/>
        </w:rPr>
        <w:t>日</w:t>
      </w:r>
    </w:p>
    <w:p w14:paraId="54FB9424">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（此件公开发布）</w:t>
      </w:r>
    </w:p>
    <w:p w14:paraId="78B57151">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p>
    <w:p w14:paraId="013308A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F0F1569">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14:paraId="67F87188">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center"/>
        <w:textAlignment w:val="auto"/>
        <w:rPr>
          <w:rFonts w:hint="eastAsia" w:ascii="方正小标宋简体" w:hAnsi="方正小标宋简体" w:eastAsia="方正小标宋简体" w:cs="方正小标宋简体"/>
          <w:sz w:val="44"/>
          <w:szCs w:val="44"/>
          <w:lang w:eastAsia="zh-CN"/>
        </w:rPr>
      </w:pPr>
    </w:p>
    <w:p w14:paraId="7A249C45">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center"/>
        <w:textAlignment w:val="auto"/>
      </w:pPr>
      <w:r>
        <w:rPr>
          <w:rFonts w:hint="eastAsia" w:ascii="方正小标宋简体" w:hAnsi="方正小标宋简体" w:eastAsia="方正小标宋简体" w:cs="方正小标宋简体"/>
          <w:sz w:val="44"/>
          <w:szCs w:val="44"/>
          <w:lang w:eastAsia="zh-CN"/>
        </w:rPr>
        <w:t>继续执行的区管委行政规范性文件目录</w:t>
      </w:r>
    </w:p>
    <w:p w14:paraId="2B48BB52"/>
    <w:tbl>
      <w:tblPr>
        <w:tblStyle w:val="7"/>
        <w:tblW w:w="9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2400"/>
        <w:gridCol w:w="1250"/>
        <w:gridCol w:w="1666"/>
        <w:gridCol w:w="2234"/>
        <w:gridCol w:w="1295"/>
      </w:tblGrid>
      <w:tr w14:paraId="2696B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700" w:type="dxa"/>
          </w:tcPr>
          <w:p w14:paraId="3FBB06A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eastAsia" w:ascii="Times New Roman" w:hAnsi="Times New Roman" w:eastAsia="方正黑体_GBK" w:cs="Times New Roman"/>
                <w:i w:val="0"/>
                <w:color w:val="000000"/>
                <w:kern w:val="0"/>
                <w:sz w:val="24"/>
                <w:szCs w:val="24"/>
                <w:u w:val="none"/>
                <w:lang w:val="en-US" w:eastAsia="zh-CN" w:bidi="ar"/>
              </w:rPr>
            </w:pPr>
            <w:r>
              <w:rPr>
                <w:rFonts w:hint="eastAsia" w:ascii="Times New Roman" w:hAnsi="Times New Roman" w:eastAsia="方正黑体_GBK" w:cs="Times New Roman"/>
                <w:b w:val="0"/>
                <w:bCs w:val="0"/>
                <w:i w:val="0"/>
                <w:color w:val="000000"/>
                <w:kern w:val="0"/>
                <w:sz w:val="24"/>
                <w:szCs w:val="24"/>
                <w:u w:val="none"/>
                <w:lang w:val="en-US" w:eastAsia="zh-CN" w:bidi="ar"/>
              </w:rPr>
              <w:t>序号</w:t>
            </w:r>
          </w:p>
        </w:tc>
        <w:tc>
          <w:tcPr>
            <w:tcW w:w="2400" w:type="dxa"/>
          </w:tcPr>
          <w:p w14:paraId="6FCAD01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eastAsia" w:ascii="仿宋_GB2312" w:hAnsi="仿宋_GB2312" w:eastAsia="仿宋_GB2312" w:cs="仿宋_GB2312"/>
                <w:b/>
                <w:bCs/>
                <w:color w:val="auto"/>
                <w:sz w:val="24"/>
                <w:szCs w:val="24"/>
                <w:vertAlign w:val="baseline"/>
                <w:lang w:val="en-US" w:eastAsia="zh-CN"/>
              </w:rPr>
            </w:pPr>
            <w:r>
              <w:rPr>
                <w:rFonts w:hint="eastAsia" w:ascii="Times New Roman" w:hAnsi="Times New Roman" w:eastAsia="方正黑体_GBK" w:cs="Times New Roman"/>
                <w:i w:val="0"/>
                <w:color w:val="000000"/>
                <w:kern w:val="0"/>
                <w:sz w:val="24"/>
                <w:szCs w:val="24"/>
                <w:u w:val="none"/>
                <w:lang w:val="en-US" w:eastAsia="zh-CN" w:bidi="ar"/>
              </w:rPr>
              <w:t>文件名称</w:t>
            </w:r>
          </w:p>
        </w:tc>
        <w:tc>
          <w:tcPr>
            <w:tcW w:w="1250" w:type="dxa"/>
          </w:tcPr>
          <w:p w14:paraId="3EC5DAA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eastAsia" w:ascii="Times New Roman" w:hAnsi="Times New Roman" w:eastAsia="方正黑体_GBK" w:cs="Times New Roman"/>
                <w:i w:val="0"/>
                <w:color w:val="000000"/>
                <w:kern w:val="0"/>
                <w:sz w:val="24"/>
                <w:szCs w:val="24"/>
                <w:u w:val="none"/>
                <w:lang w:val="en-US" w:eastAsia="zh-CN" w:bidi="ar"/>
              </w:rPr>
            </w:pPr>
            <w:r>
              <w:rPr>
                <w:rFonts w:hint="eastAsia" w:ascii="Times New Roman" w:hAnsi="Times New Roman" w:eastAsia="方正黑体_GBK" w:cs="Times New Roman"/>
                <w:i w:val="0"/>
                <w:color w:val="000000"/>
                <w:kern w:val="0"/>
                <w:sz w:val="24"/>
                <w:szCs w:val="24"/>
                <w:u w:val="none"/>
                <w:lang w:val="en-US" w:eastAsia="zh-CN" w:bidi="ar"/>
              </w:rPr>
              <w:t>文号</w:t>
            </w:r>
          </w:p>
        </w:tc>
        <w:tc>
          <w:tcPr>
            <w:tcW w:w="1666" w:type="dxa"/>
          </w:tcPr>
          <w:p w14:paraId="37DB775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eastAsia" w:ascii="Times New Roman" w:hAnsi="Times New Roman" w:eastAsia="方正黑体_GBK" w:cs="Times New Roman"/>
                <w:i w:val="0"/>
                <w:color w:val="000000"/>
                <w:kern w:val="0"/>
                <w:sz w:val="24"/>
                <w:szCs w:val="24"/>
                <w:u w:val="none"/>
                <w:lang w:val="en-US" w:eastAsia="zh-CN" w:bidi="ar"/>
              </w:rPr>
            </w:pPr>
            <w:r>
              <w:rPr>
                <w:rFonts w:hint="eastAsia" w:ascii="Times New Roman" w:hAnsi="Times New Roman" w:eastAsia="方正黑体_GBK" w:cs="Times New Roman"/>
                <w:i w:val="0"/>
                <w:color w:val="000000"/>
                <w:kern w:val="0"/>
                <w:sz w:val="24"/>
                <w:szCs w:val="24"/>
                <w:u w:val="none"/>
                <w:lang w:val="en-US" w:eastAsia="zh-CN" w:bidi="ar"/>
              </w:rPr>
              <w:t>原登记号</w:t>
            </w:r>
          </w:p>
        </w:tc>
        <w:tc>
          <w:tcPr>
            <w:tcW w:w="2234" w:type="dxa"/>
          </w:tcPr>
          <w:p w14:paraId="57DA2CA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eastAsia" w:ascii="Times New Roman" w:hAnsi="Times New Roman" w:eastAsia="方正黑体_GBK" w:cs="Times New Roman"/>
                <w:i w:val="0"/>
                <w:color w:val="000000"/>
                <w:kern w:val="0"/>
                <w:sz w:val="24"/>
                <w:szCs w:val="24"/>
                <w:u w:val="none"/>
                <w:lang w:val="en-US" w:eastAsia="zh-CN" w:bidi="ar"/>
              </w:rPr>
            </w:pPr>
            <w:r>
              <w:rPr>
                <w:rFonts w:hint="eastAsia" w:ascii="Times New Roman" w:hAnsi="Times New Roman" w:eastAsia="方正黑体_GBK" w:cs="Times New Roman"/>
                <w:i w:val="0"/>
                <w:color w:val="000000"/>
                <w:kern w:val="0"/>
                <w:sz w:val="24"/>
                <w:szCs w:val="24"/>
                <w:u w:val="none"/>
                <w:lang w:val="en-US" w:eastAsia="zh-CN" w:bidi="ar"/>
              </w:rPr>
              <w:t>新登记号</w:t>
            </w:r>
          </w:p>
        </w:tc>
        <w:tc>
          <w:tcPr>
            <w:tcW w:w="1295" w:type="dxa"/>
          </w:tcPr>
          <w:p w14:paraId="47AFC938">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Times New Roman" w:hAnsi="Times New Roman" w:eastAsia="方正黑体_GBK" w:cs="Times New Roman"/>
                <w:i w:val="0"/>
                <w:color w:val="000000"/>
                <w:kern w:val="0"/>
                <w:sz w:val="24"/>
                <w:szCs w:val="24"/>
                <w:u w:val="none"/>
                <w:lang w:val="en-US" w:eastAsia="zh-CN" w:bidi="ar"/>
              </w:rPr>
            </w:pPr>
            <w:r>
              <w:rPr>
                <w:rFonts w:hint="eastAsia" w:ascii="Times New Roman" w:hAnsi="Times New Roman" w:eastAsia="方正黑体_GBK" w:cs="Times New Roman"/>
                <w:i w:val="0"/>
                <w:color w:val="000000"/>
                <w:kern w:val="0"/>
                <w:sz w:val="24"/>
                <w:szCs w:val="24"/>
                <w:u w:val="none"/>
                <w:lang w:val="en-US" w:eastAsia="zh-CN" w:bidi="ar"/>
              </w:rPr>
              <w:t>有效期截</w:t>
            </w:r>
            <w:r>
              <w:rPr>
                <w:rFonts w:hint="eastAsia" w:eastAsia="方正黑体_GBK" w:cs="Times New Roman"/>
                <w:i w:val="0"/>
                <w:color w:val="000000"/>
                <w:kern w:val="0"/>
                <w:sz w:val="24"/>
                <w:szCs w:val="24"/>
                <w:u w:val="none"/>
                <w:lang w:val="en-US" w:eastAsia="zh-CN" w:bidi="ar"/>
              </w:rPr>
              <w:t>止</w:t>
            </w:r>
            <w:r>
              <w:rPr>
                <w:rFonts w:hint="eastAsia" w:ascii="Times New Roman" w:hAnsi="Times New Roman" w:eastAsia="方正黑体_GBK" w:cs="Times New Roman"/>
                <w:i w:val="0"/>
                <w:color w:val="000000"/>
                <w:kern w:val="0"/>
                <w:sz w:val="24"/>
                <w:szCs w:val="24"/>
                <w:u w:val="none"/>
                <w:lang w:val="en-US" w:eastAsia="zh-CN" w:bidi="ar"/>
              </w:rPr>
              <w:t>日期</w:t>
            </w:r>
          </w:p>
        </w:tc>
      </w:tr>
      <w:tr w14:paraId="1E26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700" w:type="dxa"/>
            <w:vAlign w:val="center"/>
          </w:tcPr>
          <w:p w14:paraId="2BD5770B">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Fonts w:hint="eastAsia" w:ascii="Times New Roman" w:hAnsi="Times New Roman" w:eastAsia="宋体" w:cs="Times New Roman"/>
                <w:i w:val="0"/>
                <w:color w:val="000000"/>
                <w:kern w:val="0"/>
                <w:sz w:val="24"/>
                <w:szCs w:val="24"/>
                <w:u w:val="none"/>
                <w:lang w:val="en-US" w:eastAsia="zh-CN" w:bidi="ar"/>
              </w:rPr>
              <w:t>1</w:t>
            </w:r>
          </w:p>
        </w:tc>
        <w:tc>
          <w:tcPr>
            <w:tcW w:w="2400" w:type="dxa"/>
            <w:vAlign w:val="center"/>
          </w:tcPr>
          <w:p w14:paraId="03A6A1F5">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威海火炬高技术产业开发区档案工作管理办法</w:t>
            </w:r>
          </w:p>
        </w:tc>
        <w:tc>
          <w:tcPr>
            <w:tcW w:w="1250" w:type="dxa"/>
            <w:vAlign w:val="center"/>
          </w:tcPr>
          <w:p w14:paraId="27B571B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default" w:ascii="Times New Roman" w:hAnsi="Times New Roman" w:cs="Times New Roman"/>
                <w:sz w:val="24"/>
                <w:szCs w:val="24"/>
                <w:lang w:val="en-US" w:eastAsia="zh-CN" w:bidi="ar"/>
              </w:rPr>
              <w:t>威</w:t>
            </w:r>
            <w:r>
              <w:rPr>
                <w:rStyle w:val="11"/>
                <w:rFonts w:hint="eastAsia" w:ascii="Times New Roman" w:hAnsi="Times New Roman" w:eastAsia="仿宋_GB2312" w:cs="Times New Roman"/>
                <w:sz w:val="24"/>
                <w:szCs w:val="24"/>
                <w:lang w:val="en-US" w:eastAsia="zh-CN" w:bidi="ar"/>
              </w:rPr>
              <w:t>高管</w:t>
            </w:r>
            <w:r>
              <w:rPr>
                <w:rStyle w:val="11"/>
                <w:rFonts w:hint="default" w:ascii="Times New Roman" w:hAnsi="Times New Roman" w:cs="Times New Roman"/>
                <w:sz w:val="24"/>
                <w:szCs w:val="24"/>
                <w:lang w:val="en-US" w:eastAsia="zh-CN" w:bidi="ar"/>
              </w:rPr>
              <w:t>发〔</w:t>
            </w:r>
            <w:r>
              <w:rPr>
                <w:rStyle w:val="12"/>
                <w:rFonts w:hint="default" w:ascii="Times New Roman" w:hAnsi="Times New Roman" w:eastAsia="宋体" w:cs="Times New Roman"/>
                <w:sz w:val="24"/>
                <w:szCs w:val="24"/>
                <w:lang w:val="en-US" w:eastAsia="zh-CN" w:bidi="ar"/>
              </w:rPr>
              <w:t>20</w:t>
            </w:r>
            <w:r>
              <w:rPr>
                <w:rStyle w:val="12"/>
                <w:rFonts w:hint="eastAsia" w:ascii="Times New Roman" w:hAnsi="Times New Roman" w:eastAsia="宋体" w:cs="Times New Roman"/>
                <w:sz w:val="24"/>
                <w:szCs w:val="24"/>
                <w:lang w:val="en-US" w:eastAsia="zh-CN" w:bidi="ar"/>
              </w:rPr>
              <w:t>19</w:t>
            </w:r>
            <w:r>
              <w:rPr>
                <w:rStyle w:val="11"/>
                <w:rFonts w:hint="default" w:ascii="Times New Roman" w:hAnsi="Times New Roman" w:cs="Times New Roman"/>
                <w:sz w:val="24"/>
                <w:szCs w:val="24"/>
                <w:lang w:val="en-US" w:eastAsia="zh-CN" w:bidi="ar"/>
              </w:rPr>
              <w:t>〕</w:t>
            </w:r>
            <w:r>
              <w:rPr>
                <w:rStyle w:val="12"/>
                <w:rFonts w:hint="eastAsia" w:ascii="Times New Roman" w:hAnsi="Times New Roman" w:eastAsia="宋体" w:cs="Times New Roman"/>
                <w:sz w:val="24"/>
                <w:szCs w:val="24"/>
                <w:lang w:val="en-US" w:eastAsia="zh-CN" w:bidi="ar"/>
              </w:rPr>
              <w:t>7</w:t>
            </w:r>
            <w:r>
              <w:rPr>
                <w:rStyle w:val="11"/>
                <w:rFonts w:hint="default" w:ascii="Times New Roman" w:hAnsi="Times New Roman" w:cs="Times New Roman"/>
                <w:sz w:val="24"/>
                <w:szCs w:val="24"/>
                <w:lang w:val="en-US" w:eastAsia="zh-CN" w:bidi="ar"/>
              </w:rPr>
              <w:t>号</w:t>
            </w:r>
          </w:p>
        </w:tc>
        <w:tc>
          <w:tcPr>
            <w:tcW w:w="1666" w:type="dxa"/>
            <w:vAlign w:val="center"/>
          </w:tcPr>
          <w:p w14:paraId="2EEF389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GQDR-2021-</w:t>
            </w:r>
          </w:p>
          <w:p w14:paraId="2CEA138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default"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0010003</w:t>
            </w:r>
          </w:p>
        </w:tc>
        <w:tc>
          <w:tcPr>
            <w:tcW w:w="2234" w:type="dxa"/>
            <w:vAlign w:val="center"/>
          </w:tcPr>
          <w:p w14:paraId="3462470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GQDR-2025-</w:t>
            </w:r>
          </w:p>
          <w:p w14:paraId="118919F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0010002</w:t>
            </w:r>
          </w:p>
        </w:tc>
        <w:tc>
          <w:tcPr>
            <w:tcW w:w="1295" w:type="dxa"/>
            <w:vAlign w:val="center"/>
          </w:tcPr>
          <w:p w14:paraId="66B9CB8D">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default" w:ascii="Times New Roman" w:hAnsi="Times New Roman" w:cs="Times New Roman"/>
                <w:sz w:val="24"/>
                <w:szCs w:val="24"/>
                <w:lang w:val="en-US" w:eastAsia="zh-CN" w:bidi="ar"/>
              </w:rPr>
              <w:t>长期</w:t>
            </w:r>
          </w:p>
        </w:tc>
      </w:tr>
      <w:tr w14:paraId="5122E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1658B1B2">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Fonts w:hint="eastAsia" w:ascii="Times New Roman" w:hAnsi="Times New Roman" w:eastAsia="宋体" w:cs="Times New Roman"/>
                <w:i w:val="0"/>
                <w:color w:val="000000"/>
                <w:kern w:val="0"/>
                <w:sz w:val="24"/>
                <w:szCs w:val="24"/>
                <w:u w:val="none"/>
                <w:lang w:val="en-US" w:eastAsia="zh-CN" w:bidi="ar"/>
              </w:rPr>
              <w:t>2</w:t>
            </w:r>
          </w:p>
        </w:tc>
        <w:tc>
          <w:tcPr>
            <w:tcW w:w="2400" w:type="dxa"/>
            <w:vAlign w:val="center"/>
          </w:tcPr>
          <w:p w14:paraId="09992085">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default" w:ascii="Times New Roman" w:hAnsi="Times New Roman" w:cs="Times New Roman"/>
                <w:sz w:val="24"/>
                <w:szCs w:val="24"/>
                <w:lang w:val="en-US" w:eastAsia="zh-CN" w:bidi="ar"/>
              </w:rPr>
              <w:t>威海火炬高技术产业开发区管理委员会关于开展“亩产效益”评价改革工作的实施意见</w:t>
            </w:r>
          </w:p>
        </w:tc>
        <w:tc>
          <w:tcPr>
            <w:tcW w:w="1250" w:type="dxa"/>
            <w:vAlign w:val="center"/>
          </w:tcPr>
          <w:p w14:paraId="7603E24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威高管发〔2020〕10号</w:t>
            </w:r>
          </w:p>
        </w:tc>
        <w:tc>
          <w:tcPr>
            <w:tcW w:w="1666" w:type="dxa"/>
            <w:vAlign w:val="center"/>
          </w:tcPr>
          <w:p w14:paraId="31870C8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GQDR-2021-</w:t>
            </w:r>
          </w:p>
          <w:p w14:paraId="2DF21DC0">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0010007</w:t>
            </w:r>
          </w:p>
        </w:tc>
        <w:tc>
          <w:tcPr>
            <w:tcW w:w="2234" w:type="dxa"/>
            <w:vAlign w:val="center"/>
          </w:tcPr>
          <w:p w14:paraId="4171C05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GQDR-2025-</w:t>
            </w:r>
          </w:p>
          <w:p w14:paraId="3822EC4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0010003</w:t>
            </w:r>
            <w:bookmarkStart w:id="0" w:name="_GoBack"/>
            <w:bookmarkEnd w:id="0"/>
          </w:p>
        </w:tc>
        <w:tc>
          <w:tcPr>
            <w:tcW w:w="1295" w:type="dxa"/>
            <w:vAlign w:val="center"/>
          </w:tcPr>
          <w:p w14:paraId="62539F6F">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default" w:ascii="Times New Roman" w:hAnsi="Times New Roman" w:cs="Times New Roman"/>
                <w:sz w:val="24"/>
                <w:szCs w:val="24"/>
                <w:lang w:val="en-US" w:eastAsia="zh-CN" w:bidi="ar"/>
              </w:rPr>
              <w:t>长期</w:t>
            </w:r>
          </w:p>
        </w:tc>
      </w:tr>
      <w:tr w14:paraId="4A19F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0F2C70C9">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Fonts w:hint="eastAsia" w:ascii="Times New Roman" w:hAnsi="Times New Roman" w:eastAsia="宋体" w:cs="Times New Roman"/>
                <w:i w:val="0"/>
                <w:color w:val="000000"/>
                <w:kern w:val="0"/>
                <w:sz w:val="24"/>
                <w:szCs w:val="24"/>
                <w:u w:val="none"/>
                <w:lang w:val="en-US" w:eastAsia="zh-CN" w:bidi="ar"/>
              </w:rPr>
              <w:t>3</w:t>
            </w:r>
          </w:p>
        </w:tc>
        <w:tc>
          <w:tcPr>
            <w:tcW w:w="2400" w:type="dxa"/>
            <w:vAlign w:val="center"/>
          </w:tcPr>
          <w:p w14:paraId="1E730A0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威海火炬高技术产业开发区农村产权交易管理办法</w:t>
            </w:r>
          </w:p>
        </w:tc>
        <w:tc>
          <w:tcPr>
            <w:tcW w:w="1250" w:type="dxa"/>
            <w:vAlign w:val="center"/>
          </w:tcPr>
          <w:p w14:paraId="4A90CBD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威高管发〔2021〕13号</w:t>
            </w:r>
          </w:p>
        </w:tc>
        <w:tc>
          <w:tcPr>
            <w:tcW w:w="1666" w:type="dxa"/>
            <w:vAlign w:val="center"/>
          </w:tcPr>
          <w:p w14:paraId="1296006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GQDR-2021-</w:t>
            </w:r>
          </w:p>
          <w:p w14:paraId="066713D6">
            <w:pPr>
              <w:keepNext w:val="0"/>
              <w:keepLines w:val="0"/>
              <w:widowControl/>
              <w:suppressLineNumbers w:val="0"/>
              <w:jc w:val="center"/>
              <w:textAlignment w:val="center"/>
              <w:rPr>
                <w:rFonts w:hint="default"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0010009</w:t>
            </w:r>
          </w:p>
        </w:tc>
        <w:tc>
          <w:tcPr>
            <w:tcW w:w="2234" w:type="dxa"/>
            <w:vAlign w:val="center"/>
          </w:tcPr>
          <w:p w14:paraId="60C95E9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GQDR-2025-</w:t>
            </w:r>
          </w:p>
          <w:p w14:paraId="53D701B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0010004</w:t>
            </w:r>
          </w:p>
        </w:tc>
        <w:tc>
          <w:tcPr>
            <w:tcW w:w="1295" w:type="dxa"/>
            <w:vAlign w:val="center"/>
          </w:tcPr>
          <w:p w14:paraId="3028F9BC">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default" w:ascii="Times New Roman" w:hAnsi="Times New Roman" w:cs="Times New Roman"/>
                <w:sz w:val="24"/>
                <w:szCs w:val="24"/>
                <w:lang w:val="en-US" w:eastAsia="zh-CN" w:bidi="ar"/>
              </w:rPr>
              <w:t>长期</w:t>
            </w:r>
          </w:p>
        </w:tc>
      </w:tr>
      <w:tr w14:paraId="14869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2721EE37">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Fonts w:hint="eastAsia" w:ascii="Times New Roman" w:hAnsi="Times New Roman" w:eastAsia="宋体" w:cs="Times New Roman"/>
                <w:i w:val="0"/>
                <w:color w:val="000000"/>
                <w:kern w:val="0"/>
                <w:sz w:val="24"/>
                <w:szCs w:val="24"/>
                <w:u w:val="none"/>
                <w:lang w:val="en-US" w:eastAsia="zh-CN" w:bidi="ar"/>
              </w:rPr>
              <w:t>4</w:t>
            </w:r>
          </w:p>
        </w:tc>
        <w:tc>
          <w:tcPr>
            <w:tcW w:w="2400" w:type="dxa"/>
            <w:vAlign w:val="center"/>
          </w:tcPr>
          <w:p w14:paraId="27AE1279">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威海火炬高技术产业开发区党政办公室关于加快发展保障性租赁住房的实施办法</w:t>
            </w:r>
          </w:p>
        </w:tc>
        <w:tc>
          <w:tcPr>
            <w:tcW w:w="1250" w:type="dxa"/>
            <w:vAlign w:val="center"/>
          </w:tcPr>
          <w:p w14:paraId="5289DB8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威高党政办发〔2023〕25号</w:t>
            </w:r>
          </w:p>
        </w:tc>
        <w:tc>
          <w:tcPr>
            <w:tcW w:w="1666" w:type="dxa"/>
            <w:vAlign w:val="center"/>
          </w:tcPr>
          <w:p w14:paraId="279CF6D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GQDR-2023-</w:t>
            </w:r>
          </w:p>
          <w:p w14:paraId="35DE8A5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0020001</w:t>
            </w:r>
          </w:p>
        </w:tc>
        <w:tc>
          <w:tcPr>
            <w:tcW w:w="2234" w:type="dxa"/>
            <w:vAlign w:val="center"/>
          </w:tcPr>
          <w:p w14:paraId="668199C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1"/>
                <w:rFonts w:hint="eastAsia" w:ascii="Times New Roman" w:hAnsi="Times New Roman" w:cs="Times New Roman"/>
                <w:sz w:val="24"/>
                <w:szCs w:val="24"/>
                <w:lang w:val="en-US" w:eastAsia="zh-CN" w:bidi="ar"/>
              </w:rPr>
            </w:pPr>
            <w:r>
              <w:rPr>
                <w:rStyle w:val="11"/>
                <w:rFonts w:hint="eastAsia" w:ascii="Times New Roman" w:hAnsi="Times New Roman" w:cs="Times New Roman"/>
                <w:sz w:val="24"/>
                <w:szCs w:val="24"/>
                <w:lang w:val="en-US" w:eastAsia="zh-CN" w:bidi="ar"/>
              </w:rPr>
              <w:t>GQDR-2025-</w:t>
            </w:r>
          </w:p>
          <w:p w14:paraId="416E3F2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方正小标宋简体" w:hAnsi="方正小标宋简体" w:eastAsia="仿宋_GB2312" w:cs="方正小标宋简体"/>
                <w:color w:val="auto"/>
                <w:sz w:val="32"/>
                <w:szCs w:val="32"/>
                <w:vertAlign w:val="baseline"/>
                <w:lang w:val="en-US" w:eastAsia="zh-CN"/>
              </w:rPr>
            </w:pPr>
            <w:r>
              <w:rPr>
                <w:rStyle w:val="11"/>
                <w:rFonts w:hint="eastAsia" w:ascii="Times New Roman" w:hAnsi="Times New Roman" w:cs="Times New Roman"/>
                <w:sz w:val="24"/>
                <w:szCs w:val="24"/>
                <w:lang w:val="en-US" w:eastAsia="zh-CN" w:bidi="ar"/>
              </w:rPr>
              <w:t>0020001</w:t>
            </w:r>
          </w:p>
        </w:tc>
        <w:tc>
          <w:tcPr>
            <w:tcW w:w="1295" w:type="dxa"/>
            <w:vAlign w:val="center"/>
          </w:tcPr>
          <w:p w14:paraId="54EBAD24">
            <w:pPr>
              <w:keepNext w:val="0"/>
              <w:keepLines w:val="0"/>
              <w:widowControl/>
              <w:suppressLineNumbers w:val="0"/>
              <w:jc w:val="center"/>
              <w:textAlignment w:val="center"/>
              <w:rPr>
                <w:rFonts w:hint="eastAsia" w:ascii="方正小标宋简体" w:hAnsi="方正小标宋简体" w:eastAsia="仿宋_GB2312" w:cs="方正小标宋简体"/>
                <w:color w:val="auto"/>
                <w:sz w:val="32"/>
                <w:szCs w:val="32"/>
                <w:vertAlign w:val="baseline"/>
                <w:lang w:val="en-US" w:eastAsia="zh-CN"/>
              </w:rPr>
            </w:pPr>
            <w:r>
              <w:rPr>
                <w:rStyle w:val="11"/>
                <w:rFonts w:hint="default" w:ascii="Times New Roman" w:hAnsi="Times New Roman" w:cs="Times New Roman"/>
                <w:sz w:val="24"/>
                <w:szCs w:val="24"/>
                <w:lang w:val="en-US" w:eastAsia="zh-CN" w:bidi="ar"/>
              </w:rPr>
              <w:t>长期</w:t>
            </w:r>
          </w:p>
        </w:tc>
      </w:tr>
    </w:tbl>
    <w:p w14:paraId="7CF74F3C">
      <w:pPr>
        <w:pStyle w:val="2"/>
        <w:rPr>
          <w:rFonts w:hint="default"/>
        </w:rPr>
      </w:pPr>
    </w:p>
    <w:p w14:paraId="066087E9">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ascii="仿宋_GB2312" w:eastAsia="仿宋_GB2312"/>
          <w:sz w:val="32"/>
          <w:szCs w:val="32"/>
        </w:rPr>
      </w:pPr>
    </w:p>
    <w:p w14:paraId="2DDC72D1">
      <w:pPr>
        <w:rPr>
          <w:rFonts w:ascii="仿宋_GB2312" w:eastAsia="仿宋_GB2312"/>
          <w:sz w:val="32"/>
          <w:szCs w:val="32"/>
        </w:rPr>
      </w:pPr>
      <w:r>
        <w:rPr>
          <w:rFonts w:ascii="仿宋_GB2312" w:eastAsia="仿宋_GB2312"/>
          <w:sz w:val="32"/>
          <w:szCs w:val="32"/>
        </w:rPr>
        <w:br w:type="page"/>
      </w:r>
    </w:p>
    <w:p w14:paraId="39FC1B9E">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021BAB1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A684AB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12676E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69E366A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9CFC62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C0FF11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39CA8A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1B0FC7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55C68B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7BD8876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514FC26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AA67354">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92D0353">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720DC93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6235E86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A694920">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F4E6F8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5425450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5828E41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45EDB7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0842FD2B">
      <w:pPr>
        <w:keepNext w:val="0"/>
        <w:keepLines w:val="0"/>
        <w:pageBreakBefore w:val="0"/>
        <w:widowControl w:val="0"/>
        <w:kinsoku/>
        <w:wordWrap/>
        <w:overflowPunct/>
        <w:topLinePunct w:val="0"/>
        <w:autoSpaceDE/>
        <w:autoSpaceDN/>
        <w:bidi w:val="0"/>
        <w:adjustRightInd/>
        <w:snapToGrid/>
        <w:spacing w:line="578" w:lineRule="exact"/>
        <w:textAlignment w:val="auto"/>
        <w:rPr>
          <w:rFonts w:hint="default" w:eastAsia="仿宋_GB2312"/>
          <w:lang w:val="en-US" w:eastAsia="zh-CN"/>
        </w:rPr>
      </w:pPr>
      <w:r>
        <w:rPr>
          <w:rFonts w:ascii="仿宋_GB2312" w:eastAsia="仿宋_GB2312"/>
          <w:sz w:val="28"/>
          <w:szCs w:val="28"/>
        </w:rPr>
        <mc:AlternateContent>
          <mc:Choice Requires="wps">
            <w:drawing>
              <wp:anchor distT="0" distB="0" distL="114300" distR="114300" simplePos="0" relativeHeight="251660288" behindDoc="0" locked="0" layoutInCell="0" allowOverlap="1">
                <wp:simplePos x="0" y="0"/>
                <wp:positionH relativeFrom="column">
                  <wp:posOffset>1270</wp:posOffset>
                </wp:positionH>
                <wp:positionV relativeFrom="paragraph">
                  <wp:posOffset>33655</wp:posOffset>
                </wp:positionV>
                <wp:extent cx="561975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2.65pt;height:0pt;width:442.5pt;z-index:251660288;mso-width-relative:page;mso-height-relative:page;" filled="f" stroked="t" coordsize="21600,21600" o:allowincell="f" o:gfxdata="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g6hA0gAAAAQBAAAP&#10;AAAAAAAAAAEAIAAAACIAAABkcnMvZG93bnJldi54bWxQSwECFAAUAAAACACHTuJA8qSxi+UBAACr&#10;AwAADgAAAAAAAAABACAAAAAhAQAAZHJzL2Uyb0RvYy54bWxQSwUGAAAAAAYABgBZAQAAeAUAAAAA&#10;">
                <v:fill on="f" focussize="0,0"/>
                <v:stroke weight="1pt" color="#000000" joinstyle="round"/>
                <v:imagedata o:title=""/>
                <o:lock v:ext="edit" aspectratio="f"/>
              </v:line>
            </w:pict>
          </mc:Fallback>
        </mc:AlternateContent>
      </w:r>
      <w:r>
        <w:rPr>
          <w:rFonts w:ascii="仿宋_GB2312" w:eastAsia="仿宋_GB2312"/>
          <w:spacing w:val="-30"/>
          <w:sz w:val="28"/>
          <w:szCs w:val="28"/>
        </w:rPr>
        <mc:AlternateContent>
          <mc:Choice Requires="wps">
            <w:drawing>
              <wp:anchor distT="0" distB="0" distL="114300" distR="114300" simplePos="0" relativeHeight="251661312" behindDoc="0" locked="0" layoutInCell="0" allowOverlap="1">
                <wp:simplePos x="0" y="0"/>
                <wp:positionH relativeFrom="column">
                  <wp:posOffset>1270</wp:posOffset>
                </wp:positionH>
                <wp:positionV relativeFrom="paragraph">
                  <wp:posOffset>389890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30.7pt;height:0pt;width:442.5pt;z-index:251661312;mso-width-relative:page;mso-height-relative:page;" filled="f" stroked="t" coordsize="21600,21600" o:allowincell="f" o:gfxdata="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RjAD80wAAAAYBAAAP&#10;AAAAAAAAAAEAIAAAACIAAABkcnMvZG93bnJldi54bWxQSwECFAAUAAAACACHTuJAwoYtm+QBAACr&#10;AwAADgAAAAAAAAABACAAAAAiAQAAZHJzL2Uyb0RvYy54bWxQSwUGAAAAAAYABgBZAQAAeAUAAAAA&#10;">
                <v:fill on="f" focussize="0,0"/>
                <v:stroke weight="1pt" color="#000000" joinstyle="round"/>
                <v:imagedata o:title=""/>
                <o:lock v:ext="edit" aspectratio="f"/>
              </v:line>
            </w:pict>
          </mc:Fallback>
        </mc:AlternateContent>
      </w:r>
      <w:r>
        <w:rPr>
          <w:rFonts w:hint="eastAsia" w:ascii="仿宋_GB2312" w:eastAsia="仿宋_GB2312"/>
          <w:sz w:val="28"/>
          <w:szCs w:val="28"/>
        </w:rPr>
        <w:t xml:space="preserve">  </w:t>
      </w:r>
      <w:r>
        <w:rPr>
          <w:rFonts w:hint="eastAsia" w:ascii="仿宋_GB2312" w:eastAsia="仿宋_GB2312"/>
          <w:spacing w:val="0"/>
          <w:sz w:val="28"/>
          <w:szCs w:val="28"/>
        </w:rPr>
        <w:t>威海火炬高技术产业开发区党政办公室</w:t>
      </w:r>
      <w:r>
        <w:rPr>
          <w:rFonts w:hint="eastAsia" w:ascii="仿宋_GB2312" w:eastAsia="仿宋_GB2312"/>
          <w:spacing w:val="-30"/>
          <w:sz w:val="28"/>
          <w:szCs w:val="28"/>
        </w:rPr>
        <w:t xml:space="preserve">        </w:t>
      </w:r>
      <w:r>
        <w:rPr>
          <w:rFonts w:hint="eastAsia" w:ascii="仿宋_GB2312" w:eastAsia="仿宋_GB2312"/>
          <w:spacing w:val="-30"/>
          <w:sz w:val="28"/>
          <w:szCs w:val="28"/>
          <w:lang w:val="en-US" w:eastAsia="zh-CN"/>
        </w:rPr>
        <w:t xml:space="preserve">  </w:t>
      </w:r>
      <w:r>
        <w:rPr>
          <w:rFonts w:eastAsia="仿宋_GB2312"/>
          <w:spacing w:val="0"/>
          <w:sz w:val="28"/>
          <w:szCs w:val="28"/>
        </w:rPr>
        <w:t>20</w:t>
      </w:r>
      <w:r>
        <w:rPr>
          <w:rFonts w:hint="eastAsia" w:eastAsia="仿宋_GB2312"/>
          <w:spacing w:val="0"/>
          <w:sz w:val="28"/>
          <w:szCs w:val="28"/>
        </w:rPr>
        <w:t>2</w:t>
      </w:r>
      <w:r>
        <w:rPr>
          <w:rFonts w:hint="eastAsia" w:eastAsia="仿宋_GB2312"/>
          <w:spacing w:val="0"/>
          <w:sz w:val="28"/>
          <w:szCs w:val="28"/>
          <w:lang w:val="en-US" w:eastAsia="zh-CN"/>
        </w:rPr>
        <w:t>5</w:t>
      </w:r>
      <w:r>
        <w:rPr>
          <w:rFonts w:hint="eastAsia" w:ascii="仿宋_GB2312" w:eastAsia="仿宋_GB2312"/>
          <w:spacing w:val="0"/>
          <w:sz w:val="28"/>
          <w:szCs w:val="28"/>
        </w:rPr>
        <w:t>年</w:t>
      </w:r>
      <w:r>
        <w:rPr>
          <w:rFonts w:hint="eastAsia" w:eastAsia="仿宋_GB2312" w:cs="Times New Roman"/>
          <w:spacing w:val="0"/>
          <w:sz w:val="28"/>
          <w:szCs w:val="28"/>
          <w:lang w:val="en-US" w:eastAsia="zh-CN"/>
        </w:rPr>
        <w:t>6</w:t>
      </w:r>
      <w:r>
        <w:rPr>
          <w:rFonts w:hint="default" w:ascii="Times New Roman" w:hAnsi="Times New Roman" w:eastAsia="仿宋_GB2312" w:cs="Times New Roman"/>
          <w:spacing w:val="0"/>
          <w:sz w:val="28"/>
          <w:szCs w:val="28"/>
        </w:rPr>
        <w:t>月</w:t>
      </w:r>
      <w:r>
        <w:rPr>
          <w:rFonts w:hint="eastAsia" w:eastAsia="仿宋_GB2312" w:cs="Times New Roman"/>
          <w:spacing w:val="0"/>
          <w:sz w:val="28"/>
          <w:szCs w:val="28"/>
          <w:lang w:val="en-US" w:eastAsia="zh-CN"/>
        </w:rPr>
        <w:t>26</w:t>
      </w:r>
      <w:r>
        <w:rPr>
          <w:rFonts w:hint="eastAsia" w:ascii="仿宋_GB2312" w:eastAsia="仿宋_GB2312"/>
          <w:spacing w:val="0"/>
          <w:sz w:val="28"/>
          <w:szCs w:val="28"/>
        </w:rPr>
        <w:t>日印发</w:t>
      </w:r>
      <w:r>
        <w:rPr>
          <w:rFonts w:hint="eastAsia" w:ascii="仿宋_GB2312" w:eastAsia="仿宋_GB2312"/>
          <w:spacing w:val="0"/>
          <w:sz w:val="28"/>
          <w:szCs w:val="28"/>
          <w:lang w:val="en-US" w:eastAsia="zh-CN"/>
        </w:rPr>
        <w:t xml:space="preserve">  </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黑体_GBK">
    <w:altName w:val="微软雅黑"/>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576CEB9B">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51A08E16">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7FE1F164">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3DDE7238">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7"/>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CA1"/>
    <w:rsid w:val="000E20BB"/>
    <w:rsid w:val="0010324F"/>
    <w:rsid w:val="00155185"/>
    <w:rsid w:val="001C657C"/>
    <w:rsid w:val="00306B20"/>
    <w:rsid w:val="003179DC"/>
    <w:rsid w:val="0034435B"/>
    <w:rsid w:val="00385340"/>
    <w:rsid w:val="00396017"/>
    <w:rsid w:val="003E272E"/>
    <w:rsid w:val="00434512"/>
    <w:rsid w:val="004D02D6"/>
    <w:rsid w:val="00516A1A"/>
    <w:rsid w:val="0060283F"/>
    <w:rsid w:val="006379EE"/>
    <w:rsid w:val="00647EF5"/>
    <w:rsid w:val="007815FB"/>
    <w:rsid w:val="00831CB6"/>
    <w:rsid w:val="00874984"/>
    <w:rsid w:val="008D4CA1"/>
    <w:rsid w:val="009D2DFA"/>
    <w:rsid w:val="00A2476A"/>
    <w:rsid w:val="00A44796"/>
    <w:rsid w:val="00AF407C"/>
    <w:rsid w:val="00B85C8E"/>
    <w:rsid w:val="00C567EA"/>
    <w:rsid w:val="00D5487C"/>
    <w:rsid w:val="00D60857"/>
    <w:rsid w:val="00DF08DA"/>
    <w:rsid w:val="00E62203"/>
    <w:rsid w:val="00EB5174"/>
    <w:rsid w:val="00F3654D"/>
    <w:rsid w:val="00F4451E"/>
    <w:rsid w:val="00FE5848"/>
    <w:rsid w:val="02752ABC"/>
    <w:rsid w:val="096C2E78"/>
    <w:rsid w:val="0A3936E0"/>
    <w:rsid w:val="0F0C3046"/>
    <w:rsid w:val="1AF63A18"/>
    <w:rsid w:val="228F2B4D"/>
    <w:rsid w:val="331B36C2"/>
    <w:rsid w:val="3B4C3105"/>
    <w:rsid w:val="3B9F062F"/>
    <w:rsid w:val="47051A27"/>
    <w:rsid w:val="5B3F2FDB"/>
    <w:rsid w:val="5DBB96B1"/>
    <w:rsid w:val="5E9838F9"/>
    <w:rsid w:val="605F6DDD"/>
    <w:rsid w:val="60DA3DC4"/>
    <w:rsid w:val="67F6CD7A"/>
    <w:rsid w:val="6EFFDB0E"/>
    <w:rsid w:val="70E7F8C7"/>
    <w:rsid w:val="73BFE56E"/>
    <w:rsid w:val="777FDF2F"/>
    <w:rsid w:val="77D7551F"/>
    <w:rsid w:val="7B28DAA2"/>
    <w:rsid w:val="7DBFA8EC"/>
    <w:rsid w:val="7E0FBBFB"/>
    <w:rsid w:val="7E3AA5E1"/>
    <w:rsid w:val="F973A990"/>
    <w:rsid w:val="FBFE3E6C"/>
    <w:rsid w:val="FCFEA70E"/>
    <w:rsid w:val="FF471C32"/>
    <w:rsid w:val="FFEBAE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adjustRightInd w:val="0"/>
      <w:snapToGrid w:val="0"/>
      <w:spacing w:before="120" w:beforeLines="0" w:after="120" w:afterLines="0" w:line="560" w:lineRule="exact"/>
      <w:outlineLvl w:val="0"/>
    </w:pPr>
    <w:rPr>
      <w:rFonts w:ascii="宋体" w:hAnsi="宋体" w:eastAsia="黑体"/>
      <w:bCs/>
      <w:kern w:val="44"/>
      <w:sz w:val="32"/>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val="0"/>
      <w:spacing w:before="100" w:beforeAutospacing="1" w:after="100" w:afterAutospacing="1"/>
    </w:pPr>
    <w:rPr>
      <w:rFonts w:ascii="Calibri" w:hAnsi="Calibri" w:eastAsia="宋体" w:cs="Times New Roman"/>
      <w:kern w:val="0"/>
      <w:sz w:val="24"/>
      <w:szCs w:val="22"/>
      <w:lang w:val="en-US" w:eastAsia="zh-CN" w:bidi="ar-SA"/>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脚 Char"/>
    <w:basedOn w:val="8"/>
    <w:link w:val="3"/>
    <w:qFormat/>
    <w:uiPriority w:val="99"/>
    <w:rPr>
      <w:rFonts w:ascii="Times New Roman" w:hAnsi="Times New Roman" w:eastAsia="宋体" w:cs="Times New Roman"/>
      <w:sz w:val="18"/>
      <w:szCs w:val="18"/>
    </w:rPr>
  </w:style>
  <w:style w:type="character" w:customStyle="1" w:styleId="10">
    <w:name w:val="页眉 Char"/>
    <w:basedOn w:val="8"/>
    <w:link w:val="4"/>
    <w:qFormat/>
    <w:uiPriority w:val="99"/>
    <w:rPr>
      <w:rFonts w:ascii="Times New Roman" w:hAnsi="Times New Roman" w:eastAsia="宋体" w:cs="Times New Roman"/>
      <w:sz w:val="18"/>
      <w:szCs w:val="18"/>
    </w:rPr>
  </w:style>
  <w:style w:type="character" w:customStyle="1" w:styleId="11">
    <w:name w:val="font121"/>
    <w:basedOn w:val="8"/>
    <w:qFormat/>
    <w:uiPriority w:val="0"/>
    <w:rPr>
      <w:rFonts w:hint="eastAsia" w:ascii="仿宋_GB2312" w:eastAsia="仿宋_GB2312" w:cs="仿宋_GB2312"/>
      <w:color w:val="000000"/>
      <w:sz w:val="24"/>
      <w:szCs w:val="24"/>
      <w:u w:val="none"/>
    </w:rPr>
  </w:style>
  <w:style w:type="character" w:customStyle="1" w:styleId="12">
    <w:name w:val="font81"/>
    <w:basedOn w:val="8"/>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495</Words>
  <Characters>638</Characters>
  <Lines>4</Lines>
  <Paragraphs>1</Paragraphs>
  <TotalTime>3</TotalTime>
  <ScaleCrop>false</ScaleCrop>
  <LinksUpToDate>false</LinksUpToDate>
  <CharactersWithSpaces>652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2020-07-30T23:57:00Z</dcterms:created>
  <dc:creator>CN=黄伟/O=wh.torch</dc:creator>
  <cp:lastModifiedBy>╰懂的人。</cp:lastModifiedBy>
  <cp:lastPrinted>2025-06-26T00:38:00Z</cp:lastPrinted>
  <dcterms:modified xsi:type="dcterms:W3CDTF">2025-07-02T02:38:09Z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eyJoZGlkIjoiYmVlOGVkMzlhNmVjZGRkNzZkNzM0NmVmYWUzYzJkMTMiLCJ1c2VySWQiOiI0NjE4OTkwMjQifQ==</vt:lpwstr>
  </property>
  <property fmtid="{D5CDD505-2E9C-101B-9397-08002B2CF9AE}" pid="4" name="ICV">
    <vt:lpwstr>A7B389F7E8EF498D64B55B684B9A97CC_43</vt:lpwstr>
  </property>
</Properties>
</file>