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8"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威海火炬高技术产业开发区市场监督管理局</w:t>
      </w:r>
    </w:p>
    <w:p>
      <w:pPr>
        <w:spacing w:line="578"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w:t>
      </w:r>
      <w:r>
        <w:rPr>
          <w:rFonts w:ascii="方正小标宋简体" w:hAnsi="方正小标宋简体" w:eastAsia="方正小标宋简体" w:cs="方正小标宋简体"/>
          <w:sz w:val="44"/>
          <w:szCs w:val="44"/>
        </w:rPr>
        <w:t>2</w:t>
      </w:r>
      <w:r>
        <w:rPr>
          <w:rFonts w:hint="eastAsia" w:ascii="方正小标宋简体" w:hAnsi="方正小标宋简体" w:eastAsia="方正小标宋简体" w:cs="方正小标宋简体"/>
          <w:sz w:val="44"/>
          <w:szCs w:val="44"/>
        </w:rPr>
        <w:t>1年政府信息公开工作年度报告</w:t>
      </w:r>
    </w:p>
    <w:p>
      <w:pPr>
        <w:pStyle w:val="4"/>
        <w:widowControl/>
        <w:shd w:val="clear" w:color="auto" w:fill="FFFFFF"/>
        <w:spacing w:beforeAutospacing="0" w:afterAutospacing="0" w:line="578" w:lineRule="exact"/>
        <w:jc w:val="both"/>
        <w:rPr>
          <w:rFonts w:eastAsia="宋体" w:cs="宋体"/>
          <w:color w:val="333333"/>
        </w:rPr>
      </w:pPr>
    </w:p>
    <w:p>
      <w:pPr>
        <w:pStyle w:val="4"/>
        <w:widowControl/>
        <w:shd w:val="clear" w:color="auto" w:fill="FFFFFF"/>
        <w:spacing w:beforeAutospacing="0" w:afterAutospacing="0" w:line="578"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根据《中华人民共和国政府信息公开条例》规定，现公布威海火炬高技术产业开发区管理委员会</w:t>
      </w:r>
      <w:r>
        <w:rPr>
          <w:rFonts w:ascii="仿宋_GB2312" w:hAnsi="仿宋_GB2312" w:eastAsia="仿宋_GB2312" w:cs="仿宋_GB2312"/>
          <w:sz w:val="32"/>
          <w:szCs w:val="32"/>
        </w:rPr>
        <w:t>202</w:t>
      </w:r>
      <w:r>
        <w:rPr>
          <w:rFonts w:hint="eastAsia" w:ascii="仿宋_GB2312" w:hAnsi="仿宋_GB2312" w:eastAsia="仿宋_GB2312" w:cs="仿宋_GB2312"/>
          <w:sz w:val="32"/>
          <w:szCs w:val="32"/>
        </w:rPr>
        <w:t>1年政府信息公开工作年度报告。本报告中所列数据的统计时限自 20</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1 年 1 月 1 日起至20</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1年</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31</w:t>
      </w:r>
      <w:r>
        <w:rPr>
          <w:rFonts w:hint="eastAsia" w:ascii="仿宋_GB2312" w:hAnsi="仿宋_GB2312" w:eastAsia="仿宋_GB2312" w:cs="仿宋_GB2312"/>
          <w:sz w:val="32"/>
          <w:szCs w:val="32"/>
        </w:rPr>
        <w:t>日止。本报告的电子版可在威海火炬高技术产业开发区管理委员会门户网站（http://www.whctp.gov.cn）下载。如对本报告有疑问，请与威海火炬高技术产业开发区市场监督管理局综合科联系（地址：威海市文化西路288号，电子邮箱：</w:t>
      </w:r>
      <w:r>
        <w:rPr>
          <w:rFonts w:ascii="仿宋_GB2312" w:hAnsi="仿宋_GB2312" w:eastAsia="仿宋_GB2312" w:cs="仿宋_GB2312"/>
          <w:sz w:val="32"/>
          <w:szCs w:val="32"/>
        </w:rPr>
        <w:t>gqscjgjbgs</w:t>
      </w:r>
      <w:r>
        <w:rPr>
          <w:rFonts w:hint="eastAsia" w:ascii="仿宋_GB2312" w:hAnsi="仿宋_GB2312" w:eastAsia="仿宋_GB2312" w:cs="仿宋_GB2312"/>
          <w:sz w:val="32"/>
          <w:szCs w:val="32"/>
        </w:rPr>
        <w:t>@wh.shandong.cn，邮政编码：264209，办公电话：0631-</w:t>
      </w:r>
      <w:r>
        <w:rPr>
          <w:rFonts w:ascii="仿宋_GB2312" w:hAnsi="仿宋_GB2312" w:eastAsia="仿宋_GB2312" w:cs="仿宋_GB2312"/>
          <w:sz w:val="32"/>
          <w:szCs w:val="32"/>
        </w:rPr>
        <w:t>5681102</w:t>
      </w:r>
      <w:r>
        <w:rPr>
          <w:rFonts w:hint="eastAsia" w:ascii="仿宋_GB2312" w:hAnsi="仿宋_GB2312" w:eastAsia="仿宋_GB2312" w:cs="仿宋_GB2312"/>
          <w:sz w:val="32"/>
          <w:szCs w:val="32"/>
        </w:rPr>
        <w:t>）。</w:t>
      </w:r>
    </w:p>
    <w:p>
      <w:pPr>
        <w:pStyle w:val="4"/>
        <w:widowControl/>
        <w:shd w:val="clear" w:color="auto" w:fill="FFFFFF"/>
        <w:spacing w:beforeAutospacing="0" w:afterAutospacing="0" w:line="578"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一、总体情况</w:t>
      </w:r>
    </w:p>
    <w:p>
      <w:pPr>
        <w:pStyle w:val="4"/>
        <w:widowControl/>
        <w:shd w:val="clear" w:color="auto" w:fill="FFFFFF"/>
        <w:spacing w:beforeAutospacing="0" w:afterAutospacing="0" w:line="578"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1年，我局认真贯彻国家和省、市、区关于政府信息公开的有关要求，继续执行《条例》和《办法》，</w:t>
      </w:r>
      <w:r>
        <w:rPr>
          <w:rFonts w:hint="eastAsia" w:ascii="仿宋_GB2312" w:hAnsi="仿宋_GB2312" w:eastAsia="仿宋_GB2312" w:cs="仿宋_GB2312"/>
          <w:kern w:val="0"/>
          <w:sz w:val="32"/>
          <w:szCs w:val="32"/>
          <w:shd w:val="clear" w:fill="FFFFFF"/>
          <w:lang w:val="en-US" w:eastAsia="zh-CN" w:bidi="ar"/>
        </w:rPr>
        <w:t>积极完善政府信息公开制度，加强政务公开阵地建设，围绕“食品药品安全”“产品质量安全监管”“双随机、一公开”等热点问题，</w:t>
      </w:r>
      <w:r>
        <w:rPr>
          <w:rFonts w:hint="eastAsia" w:ascii="仿宋_GB2312" w:hAnsi="仿宋_GB2312" w:eastAsia="仿宋_GB2312" w:cs="仿宋_GB2312"/>
          <w:sz w:val="32"/>
          <w:szCs w:val="32"/>
        </w:rPr>
        <w:t>以公正便民、勤政廉政为基本要求，切实推行政务公开工作，加强对行政权力的民主监督，方便群众办事，促进全区经济发展和社会政治稳定，保障了人民群众的知情权、参与权和监督权。</w:t>
      </w:r>
    </w:p>
    <w:p>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right="0" w:firstLine="640" w:firstLineChars="200"/>
        <w:jc w:val="both"/>
        <w:textAlignment w:val="auto"/>
        <w:outlineLvl w:val="9"/>
        <w:rPr>
          <w:rFonts w:hint="eastAsia" w:ascii="仿宋_GB2312" w:hAnsi="仿宋_GB2312" w:eastAsia="仿宋_GB2312" w:cs="仿宋_GB2312"/>
          <w:color w:val="000000"/>
          <w:sz w:val="32"/>
          <w:szCs w:val="32"/>
          <w:shd w:val="clear" w:color="auto" w:fill="FFFFFF"/>
        </w:rPr>
      </w:pPr>
      <w:r>
        <w:rPr>
          <w:rFonts w:hint="eastAsia" w:ascii="楷体_GB2312" w:hAnsi="楷体_GB2312" w:eastAsia="楷体_GB2312" w:cs="楷体_GB2312"/>
          <w:kern w:val="0"/>
          <w:sz w:val="32"/>
          <w:szCs w:val="32"/>
          <w:shd w:val="clear" w:fill="FFFFFF"/>
          <w:lang w:val="en-US" w:eastAsia="zh-CN" w:bidi="ar"/>
        </w:rPr>
        <w:t>（一）主动公开政府信息情况</w:t>
      </w:r>
    </w:p>
    <w:p>
      <w:pPr>
        <w:spacing w:line="560" w:lineRule="exact"/>
        <w:ind w:firstLine="640"/>
        <w:rPr>
          <w:rFonts w:ascii="仿宋_GB2312" w:hAnsi="仿宋_GB2312" w:eastAsia="仿宋_GB2312" w:cs="仿宋_GB2312"/>
          <w:szCs w:val="32"/>
        </w:rPr>
      </w:pPr>
      <w:r>
        <w:rPr>
          <w:rFonts w:hint="eastAsia" w:ascii="仿宋_GB2312" w:hAnsi="仿宋_GB2312" w:eastAsia="仿宋_GB2312" w:cs="仿宋_GB2312"/>
          <w:szCs w:val="32"/>
        </w:rPr>
        <w:t>20</w:t>
      </w:r>
      <w:r>
        <w:rPr>
          <w:rFonts w:ascii="仿宋_GB2312" w:hAnsi="仿宋_GB2312" w:eastAsia="仿宋_GB2312" w:cs="仿宋_GB2312"/>
          <w:szCs w:val="32"/>
        </w:rPr>
        <w:t>2</w:t>
      </w:r>
      <w:r>
        <w:rPr>
          <w:rFonts w:hint="eastAsia" w:ascii="仿宋_GB2312" w:hAnsi="仿宋_GB2312" w:eastAsia="仿宋_GB2312" w:cs="仿宋_GB2312"/>
          <w:szCs w:val="32"/>
        </w:rPr>
        <w:t>1年，通过威海火炬高技术产业开发区管理委员会门户网站主动公开政府信息449条，其中案件办理信息313条，业务工作101条，抽检信息28条，消费警示信息7条；全面实施“双随机、一公开”监管，多渠道全方位及时公开综合监管和检查执法信息。累计开展双随机抽查计划36次，双随机任务63个，抽取检查对象1279户，公示检查结果1279户。</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640" w:leftChars="0"/>
        <w:jc w:val="left"/>
        <w:textAlignment w:val="auto"/>
        <w:rPr>
          <w:rFonts w:ascii="楷体_GB2312" w:hAnsi="宋体" w:eastAsia="楷体_GB2312" w:cs="楷体_GB2312"/>
          <w:sz w:val="31"/>
          <w:szCs w:val="31"/>
        </w:rPr>
      </w:pPr>
      <w:r>
        <w:rPr>
          <w:rFonts w:hint="eastAsia" w:ascii="楷体_GB2312" w:hAnsi="宋体" w:eastAsia="楷体_GB2312" w:cs="楷体_GB2312"/>
          <w:sz w:val="31"/>
          <w:szCs w:val="31"/>
          <w:lang w:eastAsia="zh-CN"/>
        </w:rPr>
        <w:t>（</w:t>
      </w:r>
      <w:r>
        <w:rPr>
          <w:rFonts w:hint="eastAsia" w:ascii="楷体_GB2312" w:hAnsi="宋体" w:eastAsia="楷体_GB2312" w:cs="楷体_GB2312"/>
          <w:sz w:val="31"/>
          <w:szCs w:val="31"/>
          <w:lang w:val="en-US" w:eastAsia="zh-CN"/>
        </w:rPr>
        <w:t>二</w:t>
      </w:r>
      <w:r>
        <w:rPr>
          <w:rFonts w:hint="eastAsia" w:ascii="楷体_GB2312" w:hAnsi="宋体" w:eastAsia="楷体_GB2312" w:cs="楷体_GB2312"/>
          <w:sz w:val="31"/>
          <w:szCs w:val="31"/>
          <w:lang w:eastAsia="zh-CN"/>
        </w:rPr>
        <w:t>）</w:t>
      </w:r>
      <w:r>
        <w:rPr>
          <w:rFonts w:hint="eastAsia" w:ascii="楷体_GB2312" w:hAnsi="宋体" w:eastAsia="楷体_GB2312" w:cs="楷体_GB2312"/>
          <w:sz w:val="31"/>
          <w:szCs w:val="31"/>
        </w:rPr>
        <w:t>依申请公开办理情况</w:t>
      </w:r>
    </w:p>
    <w:p>
      <w:pPr>
        <w:spacing w:line="560" w:lineRule="exact"/>
        <w:ind w:firstLine="640"/>
        <w:rPr>
          <w:rFonts w:hint="eastAsia" w:ascii="仿宋_GB2312" w:hAnsi="仿宋_GB2312" w:eastAsia="仿宋_GB2312" w:cs="仿宋_GB2312"/>
          <w:szCs w:val="32"/>
        </w:rPr>
      </w:pPr>
      <w:r>
        <w:rPr>
          <w:rFonts w:hint="eastAsia" w:ascii="仿宋_GB2312" w:hAnsi="仿宋_GB2312" w:eastAsia="仿宋_GB2312" w:cs="仿宋_GB2312"/>
          <w:szCs w:val="32"/>
        </w:rPr>
        <w:t>202</w:t>
      </w:r>
      <w:r>
        <w:rPr>
          <w:rFonts w:hint="eastAsia" w:ascii="仿宋_GB2312" w:hAnsi="仿宋_GB2312" w:eastAsia="仿宋_GB2312" w:cs="仿宋_GB2312"/>
          <w:szCs w:val="32"/>
          <w:lang w:val="en-US" w:eastAsia="zh-CN"/>
        </w:rPr>
        <w:t>1</w:t>
      </w:r>
      <w:r>
        <w:rPr>
          <w:rFonts w:hint="eastAsia" w:ascii="仿宋_GB2312" w:hAnsi="仿宋_GB2312" w:eastAsia="仿宋_GB2312" w:cs="仿宋_GB2312"/>
          <w:szCs w:val="32"/>
        </w:rPr>
        <w:t>年，全年共收到依申请信息公开</w:t>
      </w:r>
      <w:r>
        <w:rPr>
          <w:rFonts w:hint="eastAsia" w:ascii="仿宋_GB2312" w:hAnsi="仿宋_GB2312" w:eastAsia="仿宋_GB2312" w:cs="仿宋_GB2312"/>
          <w:szCs w:val="32"/>
          <w:lang w:val="en-US" w:eastAsia="zh-CN"/>
        </w:rPr>
        <w:t>2</w:t>
      </w:r>
      <w:r>
        <w:rPr>
          <w:rFonts w:hint="eastAsia" w:ascii="仿宋_GB2312" w:hAnsi="仿宋_GB2312" w:eastAsia="仿宋_GB2312" w:cs="仿宋_GB2312"/>
          <w:szCs w:val="32"/>
        </w:rPr>
        <w:t>条，按时完成回复。未发生因违反政府信息公开工作规定而出现投诉、复议、诉讼情况。</w:t>
      </w:r>
    </w:p>
    <w:p>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kern w:val="0"/>
          <w:sz w:val="32"/>
          <w:szCs w:val="32"/>
          <w:shd w:val="clear" w:fill="FFFFFF"/>
          <w:lang w:val="en-US" w:eastAsia="zh-CN" w:bidi="ar"/>
        </w:rPr>
        <w:t xml:space="preserve">（三）政府信息管理情况 </w:t>
      </w:r>
    </w:p>
    <w:p>
      <w:pPr>
        <w:pStyle w:val="4"/>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jc w:val="both"/>
        <w:textAlignment w:val="auto"/>
        <w:rPr>
          <w:rFonts w:ascii="微软雅黑" w:hAnsi="微软雅黑" w:eastAsia="微软雅黑" w:cs="微软雅黑"/>
          <w:sz w:val="22"/>
          <w:szCs w:val="22"/>
        </w:rPr>
      </w:pPr>
      <w:r>
        <w:rPr>
          <w:rFonts w:hint="eastAsia" w:ascii="仿宋_GB2312" w:hAnsi="仿宋_GB2312" w:eastAsia="仿宋_GB2312" w:cs="仿宋_GB2312"/>
          <w:sz w:val="32"/>
          <w:szCs w:val="32"/>
        </w:rPr>
        <w:t>我局高度重视政务信息公开工作，切实把政务公开作为一项重要任务，认真抓好落实，成立了政务信息公开工作领导小组，</w:t>
      </w:r>
      <w:r>
        <w:rPr>
          <w:rFonts w:hint="eastAsia" w:ascii="仿宋_GB2312" w:hAnsi="微软雅黑" w:eastAsia="仿宋_GB2312" w:cs="仿宋_GB2312"/>
          <w:sz w:val="31"/>
          <w:szCs w:val="31"/>
        </w:rPr>
        <w:t>由局领导负责政府信息公开全局性工作</w:t>
      </w:r>
      <w:r>
        <w:rPr>
          <w:rFonts w:hint="eastAsia" w:ascii="仿宋_GB2312" w:hAnsi="仿宋_GB2312" w:eastAsia="仿宋_GB2312" w:cs="仿宋_GB2312"/>
          <w:sz w:val="32"/>
          <w:szCs w:val="32"/>
        </w:rPr>
        <w:t>，结合工作实际调整了政务公开工作人员分工，把政务公开的具体责任量化到人，及时进行信息的公开、更新、发布、依申请公开和互动回复。</w:t>
      </w:r>
      <w:r>
        <w:rPr>
          <w:rFonts w:hint="eastAsia" w:ascii="仿宋_GB2312" w:hAnsi="仿宋_GB2312" w:eastAsia="仿宋_GB2312" w:cs="仿宋_GB2312"/>
          <w:sz w:val="32"/>
          <w:szCs w:val="32"/>
          <w:lang w:val="en-US" w:eastAsia="zh-CN"/>
        </w:rPr>
        <w:t>同时</w:t>
      </w:r>
      <w:r>
        <w:rPr>
          <w:rFonts w:hint="eastAsia" w:ascii="仿宋_GB2312" w:hAnsi="仿宋_GB2312" w:eastAsia="仿宋_GB2312" w:cs="仿宋_GB2312"/>
          <w:sz w:val="32"/>
          <w:szCs w:val="32"/>
        </w:rPr>
        <w:t xml:space="preserve">进一步完善了政务公开各项制度，确保政府信息公开工作持续良好开展。 </w:t>
      </w:r>
    </w:p>
    <w:p>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kern w:val="0"/>
          <w:sz w:val="32"/>
          <w:szCs w:val="32"/>
          <w:shd w:val="clear" w:fill="FFFFFF"/>
          <w:lang w:val="en-US" w:eastAsia="zh-CN" w:bidi="ar"/>
        </w:rPr>
        <w:t xml:space="preserve">（四）平台建设情况 </w:t>
      </w:r>
    </w:p>
    <w:p>
      <w:pPr>
        <w:pStyle w:val="4"/>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78"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按照要求优化了</w:t>
      </w:r>
      <w:r>
        <w:rPr>
          <w:rFonts w:hint="eastAsia" w:ascii="仿宋_GB2312" w:hAnsi="仿宋_GB2312" w:eastAsia="仿宋_GB2312" w:cs="仿宋_GB2312"/>
          <w:sz w:val="32"/>
          <w:szCs w:val="32"/>
        </w:rPr>
        <w:t>威海火炬高技术产业开发区管理委员会门户网站</w:t>
      </w:r>
      <w:r>
        <w:rPr>
          <w:rFonts w:hint="eastAsia" w:ascii="仿宋_GB2312" w:hAnsi="仿宋_GB2312" w:eastAsia="仿宋_GB2312" w:cs="仿宋_GB2312"/>
          <w:sz w:val="32"/>
          <w:szCs w:val="32"/>
          <w:lang w:val="en-US" w:eastAsia="zh-CN"/>
        </w:rPr>
        <w:t>中信息公开组配分类，规范了食品药品监管中的监督检查、监督抽检、行政处罚等信息的公开形式，</w:t>
      </w:r>
      <w:r>
        <w:rPr>
          <w:rFonts w:hint="eastAsia" w:ascii="仿宋_GB2312" w:hAnsi="仿宋_GB2312" w:eastAsia="仿宋_GB2312" w:cs="仿宋_GB2312"/>
          <w:sz w:val="32"/>
          <w:szCs w:val="32"/>
        </w:rPr>
        <w:t>实现了集重点领域信息公开、行政权力运行公开、政策解读、回应关切、政务服务等于一体的公开模式，方便公众、企业办事及查询，最大程度保障人民群众的知情权。</w:t>
      </w:r>
      <w:r>
        <w:rPr>
          <w:rFonts w:hint="eastAsia" w:ascii="仿宋_GB2312" w:hAnsi="仿宋_GB2312" w:eastAsia="仿宋_GB2312" w:cs="仿宋_GB2312"/>
          <w:sz w:val="32"/>
          <w:szCs w:val="32"/>
          <w:lang w:val="en-US" w:eastAsia="zh-CN"/>
        </w:rPr>
        <w:t>加强政务新媒体建设，充分利用</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威海高新区市场监管局”微信公众号，定期发布市场监管动态和相关信息，推动市场监管信息公开，成为为民服务的重要载体和平台，2021年共发布及转发信息178条。</w:t>
      </w:r>
    </w:p>
    <w:p>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kern w:val="0"/>
          <w:sz w:val="32"/>
          <w:szCs w:val="32"/>
          <w:shd w:val="clear" w:fill="FFFFFF"/>
          <w:lang w:val="en-US" w:eastAsia="zh-CN" w:bidi="ar"/>
        </w:rPr>
        <w:t xml:space="preserve">（五）监督保障情况 </w:t>
      </w:r>
    </w:p>
    <w:p>
      <w:pPr>
        <w:keepNext w:val="0"/>
        <w:keepLines w:val="0"/>
        <w:pageBreakBefore w:val="0"/>
        <w:kinsoku/>
        <w:wordWrap/>
        <w:overflowPunct/>
        <w:topLinePunct w:val="0"/>
        <w:autoSpaceDE/>
        <w:autoSpaceDN/>
        <w:bidi w:val="0"/>
        <w:adjustRightInd/>
        <w:snapToGrid/>
        <w:spacing w:line="560" w:lineRule="exact"/>
        <w:ind w:firstLine="620" w:firstLineChars="200"/>
        <w:textAlignment w:val="auto"/>
        <w:outlineLvl w:val="9"/>
        <w:rPr>
          <w:rFonts w:hint="eastAsia" w:ascii="仿宋_GB2312" w:hAnsi="仿宋_GB2312" w:eastAsia="仿宋_GB2312" w:cs="仿宋_GB2312"/>
          <w:sz w:val="32"/>
          <w:szCs w:val="32"/>
        </w:rPr>
      </w:pPr>
      <w:r>
        <w:rPr>
          <w:rFonts w:hint="eastAsia" w:ascii="仿宋_GB2312" w:hAnsi="微软雅黑" w:eastAsia="仿宋_GB2312" w:cs="仿宋_GB2312"/>
          <w:sz w:val="31"/>
          <w:szCs w:val="31"/>
        </w:rPr>
        <w:t>按照政务信息公开工作的实际需要，进一步完善政务信息公开保密审查制度，全面理顺和规范了等信息公开相关制度，</w:t>
      </w:r>
      <w:r>
        <w:rPr>
          <w:rFonts w:hint="eastAsia" w:ascii="仿宋_GB2312" w:hAnsi="仿宋_GB2312" w:eastAsia="仿宋_GB2312" w:cs="仿宋_GB2312"/>
          <w:sz w:val="32"/>
          <w:szCs w:val="32"/>
        </w:rPr>
        <w:t>对政府信息公开工作实行统一要求、统一管理，明确</w:t>
      </w:r>
      <w:r>
        <w:rPr>
          <w:rFonts w:hint="eastAsia" w:ascii="仿宋_GB2312" w:hAnsi="仿宋_GB2312" w:eastAsia="仿宋_GB2312" w:cs="仿宋_GB2312"/>
          <w:sz w:val="32"/>
          <w:szCs w:val="32"/>
          <w:lang w:val="en-US" w:eastAsia="zh-CN"/>
        </w:rPr>
        <w:t>综合</w:t>
      </w:r>
      <w:r>
        <w:rPr>
          <w:rFonts w:hint="eastAsia" w:ascii="仿宋_GB2312" w:hAnsi="仿宋_GB2312" w:eastAsia="仿宋_GB2312" w:cs="仿宋_GB2312"/>
          <w:sz w:val="32"/>
          <w:szCs w:val="32"/>
        </w:rPr>
        <w:t>科专人负责，各科、</w:t>
      </w:r>
      <w:r>
        <w:rPr>
          <w:rFonts w:hint="eastAsia" w:ascii="仿宋_GB2312" w:hAnsi="仿宋_GB2312" w:eastAsia="仿宋_GB2312" w:cs="仿宋_GB2312"/>
          <w:sz w:val="32"/>
          <w:szCs w:val="32"/>
          <w:lang w:val="en-US" w:eastAsia="zh-CN"/>
        </w:rPr>
        <w:t>所</w:t>
      </w:r>
      <w:r>
        <w:rPr>
          <w:rFonts w:hint="eastAsia" w:ascii="仿宋_GB2312" w:hAnsi="仿宋_GB2312" w:eastAsia="仿宋_GB2312" w:cs="仿宋_GB2312"/>
          <w:sz w:val="32"/>
          <w:szCs w:val="32"/>
        </w:rPr>
        <w:t>确定具体负责工作人员，全员抓好政务公开工作。同时，对工作职责、办公地址、联系方式等内容进行公开，及时更新相关事项的办理流程、办结时限等规定，确保监督保障渠道畅通。</w:t>
      </w:r>
    </w:p>
    <w:p>
      <w:pPr>
        <w:pStyle w:val="4"/>
        <w:widowControl/>
        <w:shd w:val="clear" w:color="auto" w:fill="FFFFFF"/>
        <w:spacing w:beforeAutospacing="0" w:afterAutospacing="0" w:line="578"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二、主动公开政府信息情况</w:t>
      </w:r>
    </w:p>
    <w:tbl>
      <w:tblPr>
        <w:tblStyle w:val="5"/>
        <w:tblpPr w:leftFromText="180" w:rightFromText="180" w:vertAnchor="text" w:horzAnchor="page" w:tblpXSpec="center" w:tblpY="836"/>
        <w:tblOverlap w:val="never"/>
        <w:tblW w:w="9102" w:type="dxa"/>
        <w:jc w:val="center"/>
        <w:tblLayout w:type="fixed"/>
        <w:tblCellMar>
          <w:top w:w="0" w:type="dxa"/>
          <w:left w:w="108" w:type="dxa"/>
          <w:bottom w:w="0" w:type="dxa"/>
          <w:right w:w="108" w:type="dxa"/>
        </w:tblCellMar>
      </w:tblPr>
      <w:tblGrid>
        <w:gridCol w:w="2484"/>
        <w:gridCol w:w="2206"/>
        <w:gridCol w:w="2206"/>
        <w:gridCol w:w="2206"/>
      </w:tblGrid>
      <w:tr>
        <w:tblPrEx>
          <w:tblCellMar>
            <w:top w:w="0" w:type="dxa"/>
            <w:left w:w="108" w:type="dxa"/>
            <w:bottom w:w="0" w:type="dxa"/>
            <w:right w:w="108" w:type="dxa"/>
          </w:tblCellMar>
        </w:tblPrEx>
        <w:trPr>
          <w:trHeight w:val="567" w:hRule="atLeast"/>
          <w:jc w:val="center"/>
        </w:trPr>
        <w:tc>
          <w:tcPr>
            <w:tcW w:w="9102"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Calibri" w:eastAsia="仿宋_GB2312" w:cs="Calibri"/>
                <w:color w:val="000000"/>
                <w:kern w:val="0"/>
                <w:szCs w:val="21"/>
              </w:rPr>
            </w:pPr>
            <w:r>
              <w:rPr>
                <w:rFonts w:hint="eastAsia" w:ascii="仿宋_GB2312" w:hAnsi="Calibri" w:eastAsia="仿宋_GB2312" w:cs="Calibri"/>
                <w:color w:val="000000"/>
                <w:kern w:val="0"/>
                <w:szCs w:val="21"/>
              </w:rPr>
              <w:t>0</w:t>
            </w:r>
          </w:p>
        </w:tc>
      </w:tr>
      <w:tr>
        <w:tblPrEx>
          <w:tblCellMar>
            <w:top w:w="0" w:type="dxa"/>
            <w:left w:w="108" w:type="dxa"/>
            <w:bottom w:w="0" w:type="dxa"/>
            <w:right w:w="108" w:type="dxa"/>
          </w:tblCellMar>
        </w:tblPrEx>
        <w:trPr>
          <w:trHeight w:val="567"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Calibri" w:eastAsia="仿宋_GB2312" w:cs="Calibri"/>
                <w:color w:val="000000"/>
                <w:kern w:val="0"/>
                <w:szCs w:val="21"/>
              </w:rPr>
            </w:pPr>
            <w:r>
              <w:rPr>
                <w:rFonts w:hint="eastAsia" w:ascii="仿宋_GB2312" w:hAnsi="Calibri" w:eastAsia="仿宋_GB2312" w:cs="Calibri"/>
                <w:color w:val="000000"/>
                <w:kern w:val="0"/>
                <w:szCs w:val="21"/>
              </w:rPr>
              <w:t>0</w:t>
            </w:r>
          </w:p>
        </w:tc>
      </w:tr>
      <w:tr>
        <w:tblPrEx>
          <w:tblCellMar>
            <w:top w:w="0" w:type="dxa"/>
            <w:left w:w="108" w:type="dxa"/>
            <w:bottom w:w="0" w:type="dxa"/>
            <w:right w:w="108" w:type="dxa"/>
          </w:tblCellMar>
        </w:tblPrEx>
        <w:trPr>
          <w:trHeight w:val="567" w:hRule="atLeast"/>
          <w:jc w:val="center"/>
        </w:trPr>
        <w:tc>
          <w:tcPr>
            <w:tcW w:w="9102"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804"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1194</w:t>
            </w:r>
          </w:p>
        </w:tc>
      </w:tr>
      <w:tr>
        <w:tblPrEx>
          <w:tblCellMar>
            <w:top w:w="0" w:type="dxa"/>
            <w:left w:w="108" w:type="dxa"/>
            <w:bottom w:w="0" w:type="dxa"/>
            <w:right w:w="108" w:type="dxa"/>
          </w:tblCellMar>
        </w:tblPrEx>
        <w:trPr>
          <w:trHeight w:val="567" w:hRule="atLeast"/>
          <w:jc w:val="center"/>
        </w:trPr>
        <w:tc>
          <w:tcPr>
            <w:tcW w:w="9102"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90"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105</w:t>
            </w:r>
          </w:p>
        </w:tc>
      </w:tr>
      <w:tr>
        <w:tblPrEx>
          <w:tblCellMar>
            <w:top w:w="0" w:type="dxa"/>
            <w:left w:w="108" w:type="dxa"/>
            <w:bottom w:w="0" w:type="dxa"/>
            <w:right w:w="108" w:type="dxa"/>
          </w:tblCellMar>
        </w:tblPrEx>
        <w:trPr>
          <w:trHeight w:val="567"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0</w:t>
            </w:r>
          </w:p>
        </w:tc>
      </w:tr>
      <w:tr>
        <w:tblPrEx>
          <w:tblCellMar>
            <w:top w:w="0" w:type="dxa"/>
            <w:left w:w="108" w:type="dxa"/>
            <w:bottom w:w="0" w:type="dxa"/>
            <w:right w:w="108" w:type="dxa"/>
          </w:tblCellMar>
        </w:tblPrEx>
        <w:trPr>
          <w:trHeight w:val="567" w:hRule="atLeast"/>
          <w:jc w:val="center"/>
        </w:trPr>
        <w:tc>
          <w:tcPr>
            <w:tcW w:w="9102"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jc w:val="center"/>
        </w:trPr>
        <w:tc>
          <w:tcPr>
            <w:tcW w:w="2484"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color w:val="000000"/>
                <w:kern w:val="0"/>
                <w:szCs w:val="21"/>
              </w:rPr>
            </w:pPr>
            <w:r>
              <w:rPr>
                <w:rFonts w:hint="eastAsia" w:ascii="仿宋_GB2312" w:hAnsi="Calibri" w:eastAsia="仿宋_GB2312" w:cs="Calibri"/>
                <w:color w:val="000000"/>
                <w:kern w:val="0"/>
                <w:szCs w:val="21"/>
              </w:rPr>
              <w:t>1.39</w:t>
            </w:r>
          </w:p>
        </w:tc>
      </w:tr>
    </w:tbl>
    <w:p>
      <w:pPr>
        <w:pStyle w:val="4"/>
        <w:widowControl/>
        <w:numPr>
          <w:ilvl w:val="0"/>
          <w:numId w:val="1"/>
        </w:numPr>
        <w:shd w:val="clear" w:color="auto" w:fill="FFFFFF"/>
        <w:spacing w:beforeAutospacing="0" w:afterAutospacing="0"/>
        <w:ind w:firstLine="42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收到和处理政府信息公开申请情况</w:t>
      </w:r>
    </w:p>
    <w:tbl>
      <w:tblPr>
        <w:tblStyle w:val="5"/>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 w:val="21"/>
                <w:szCs w:val="21"/>
              </w:rPr>
            </w:pPr>
            <w:r>
              <w:rPr>
                <w:rFonts w:hint="eastAsia" w:ascii="楷体_GB2312" w:hAnsi="黑体" w:eastAsia="楷体_GB2312"/>
                <w:kern w:val="0"/>
                <w:sz w:val="21"/>
                <w:szCs w:val="21"/>
              </w:rPr>
              <w:t>（本列数据的勾稽关系为：第一项加第二项之和，</w:t>
            </w:r>
          </w:p>
          <w:p>
            <w:pPr>
              <w:widowControl/>
              <w:jc w:val="center"/>
              <w:rPr>
                <w:rFonts w:ascii="仿宋_GB2312" w:eastAsia="仿宋_GB2312"/>
                <w:szCs w:val="21"/>
              </w:rPr>
            </w:pPr>
            <w:r>
              <w:rPr>
                <w:rFonts w:hint="eastAsia" w:ascii="楷体_GB2312" w:hAnsi="黑体" w:eastAsia="楷体_GB2312"/>
                <w:kern w:val="0"/>
                <w:sz w:val="21"/>
                <w:szCs w:val="21"/>
              </w:rPr>
              <w:t>等于第三项加第四项之和）</w:t>
            </w:r>
          </w:p>
        </w:tc>
        <w:tc>
          <w:tcPr>
            <w:tcW w:w="4820" w:type="dxa"/>
            <w:gridSpan w:val="7"/>
            <w:shd w:val="clear" w:color="auto" w:fill="auto"/>
            <w:tcMar>
              <w:left w:w="108" w:type="dxa"/>
              <w:right w:w="108" w:type="dxa"/>
            </w:tcMar>
            <w:vAlign w:val="center"/>
          </w:tcPr>
          <w:p>
            <w:pPr>
              <w:jc w:val="center"/>
              <w:rPr>
                <w:rFonts w:ascii="黑体" w:hAnsi="黑体" w:eastAsia="黑体"/>
                <w:sz w:val="21"/>
                <w:szCs w:val="21"/>
              </w:rPr>
            </w:pPr>
            <w:r>
              <w:rPr>
                <w:rFonts w:hint="eastAsia" w:ascii="黑体" w:hAnsi="黑体" w:eastAsia="黑体"/>
                <w:sz w:val="21"/>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eastAsia="仿宋_GB2312"/>
                <w:szCs w:val="21"/>
              </w:rPr>
            </w:pPr>
          </w:p>
        </w:tc>
        <w:tc>
          <w:tcPr>
            <w:tcW w:w="829" w:type="dxa"/>
            <w:vMerge w:val="restart"/>
            <w:shd w:val="clear" w:color="auto" w:fill="auto"/>
            <w:tcMar>
              <w:left w:w="108" w:type="dxa"/>
              <w:right w:w="108" w:type="dxa"/>
            </w:tcMar>
            <w:vAlign w:val="center"/>
          </w:tcPr>
          <w:p>
            <w:pPr>
              <w:jc w:val="center"/>
              <w:rPr>
                <w:rFonts w:ascii="黑体" w:hAnsi="黑体" w:eastAsia="黑体"/>
                <w:sz w:val="21"/>
                <w:szCs w:val="21"/>
              </w:rPr>
            </w:pPr>
            <w:r>
              <w:rPr>
                <w:rFonts w:hint="eastAsia" w:ascii="黑体" w:hAnsi="黑体" w:eastAsia="黑体"/>
                <w:sz w:val="21"/>
                <w:szCs w:val="21"/>
              </w:rPr>
              <w:t>自然人</w:t>
            </w:r>
          </w:p>
        </w:tc>
        <w:tc>
          <w:tcPr>
            <w:tcW w:w="3140" w:type="dxa"/>
            <w:gridSpan w:val="5"/>
            <w:shd w:val="clear" w:color="auto" w:fill="auto"/>
            <w:tcMar>
              <w:left w:w="108" w:type="dxa"/>
              <w:right w:w="108" w:type="dxa"/>
            </w:tcMar>
            <w:vAlign w:val="center"/>
          </w:tcPr>
          <w:p>
            <w:pPr>
              <w:jc w:val="center"/>
              <w:rPr>
                <w:rFonts w:ascii="黑体" w:hAnsi="黑体" w:eastAsia="黑体"/>
                <w:sz w:val="21"/>
                <w:szCs w:val="21"/>
              </w:rPr>
            </w:pPr>
            <w:r>
              <w:rPr>
                <w:rFonts w:hint="eastAsia" w:ascii="黑体" w:hAnsi="黑体" w:eastAsia="黑体"/>
                <w:sz w:val="21"/>
                <w:szCs w:val="21"/>
              </w:rPr>
              <w:t>法人或其他组织</w:t>
            </w:r>
          </w:p>
        </w:tc>
        <w:tc>
          <w:tcPr>
            <w:tcW w:w="851" w:type="dxa"/>
            <w:vMerge w:val="restart"/>
            <w:shd w:val="clear" w:color="auto" w:fill="auto"/>
            <w:tcMar>
              <w:left w:w="108" w:type="dxa"/>
              <w:right w:w="108" w:type="dxa"/>
            </w:tcMar>
            <w:vAlign w:val="center"/>
          </w:tcPr>
          <w:p>
            <w:pPr>
              <w:jc w:val="center"/>
              <w:rPr>
                <w:rFonts w:ascii="黑体" w:hAnsi="黑体" w:eastAsia="黑体"/>
                <w:sz w:val="21"/>
                <w:szCs w:val="21"/>
              </w:rPr>
            </w:pPr>
            <w:r>
              <w:rPr>
                <w:rFonts w:hint="eastAsia" w:ascii="黑体" w:hAnsi="黑体" w:eastAsia="黑体"/>
                <w:sz w:val="21"/>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20" w:hRule="atLeast"/>
          <w:jc w:val="center"/>
        </w:trPr>
        <w:tc>
          <w:tcPr>
            <w:tcW w:w="5093" w:type="dxa"/>
            <w:gridSpan w:val="3"/>
            <w:vMerge w:val="continue"/>
            <w:shd w:val="clear" w:color="auto" w:fill="auto"/>
            <w:tcMar>
              <w:left w:w="108" w:type="dxa"/>
              <w:right w:w="108" w:type="dxa"/>
            </w:tcMar>
            <w:vAlign w:val="center"/>
          </w:tcPr>
          <w:p>
            <w:pPr>
              <w:jc w:val="center"/>
              <w:rPr>
                <w:rFonts w:ascii="仿宋_GB2312" w:eastAsia="仿宋_GB2312"/>
                <w:szCs w:val="21"/>
              </w:rPr>
            </w:pPr>
          </w:p>
        </w:tc>
        <w:tc>
          <w:tcPr>
            <w:tcW w:w="829" w:type="dxa"/>
            <w:vMerge w:val="continue"/>
            <w:shd w:val="clear" w:color="auto" w:fill="auto"/>
            <w:tcMar>
              <w:left w:w="108" w:type="dxa"/>
              <w:right w:w="108" w:type="dxa"/>
            </w:tcMar>
            <w:vAlign w:val="center"/>
          </w:tcPr>
          <w:p>
            <w:pPr>
              <w:jc w:val="center"/>
              <w:rPr>
                <w:rFonts w:ascii="黑体" w:hAnsi="黑体" w:eastAsia="黑体"/>
                <w:sz w:val="21"/>
                <w:szCs w:val="21"/>
              </w:rPr>
            </w:pPr>
          </w:p>
        </w:tc>
        <w:tc>
          <w:tcPr>
            <w:tcW w:w="567" w:type="dxa"/>
            <w:shd w:val="clear" w:color="auto" w:fill="auto"/>
            <w:tcMar>
              <w:left w:w="108" w:type="dxa"/>
              <w:right w:w="108" w:type="dxa"/>
            </w:tcMar>
            <w:vAlign w:val="center"/>
          </w:tcPr>
          <w:p>
            <w:pPr>
              <w:jc w:val="center"/>
              <w:rPr>
                <w:rFonts w:ascii="黑体" w:hAnsi="黑体" w:eastAsia="黑体"/>
                <w:sz w:val="21"/>
                <w:szCs w:val="21"/>
              </w:rPr>
            </w:pPr>
            <w:r>
              <w:rPr>
                <w:rFonts w:hint="eastAsia" w:ascii="黑体" w:hAnsi="黑体" w:eastAsia="黑体"/>
                <w:sz w:val="21"/>
                <w:szCs w:val="21"/>
              </w:rPr>
              <w:t>商业企业</w:t>
            </w:r>
          </w:p>
        </w:tc>
        <w:tc>
          <w:tcPr>
            <w:tcW w:w="567" w:type="dxa"/>
            <w:shd w:val="clear" w:color="auto" w:fill="auto"/>
            <w:tcMar>
              <w:left w:w="108" w:type="dxa"/>
              <w:right w:w="108" w:type="dxa"/>
            </w:tcMar>
            <w:vAlign w:val="center"/>
          </w:tcPr>
          <w:p>
            <w:pPr>
              <w:jc w:val="center"/>
              <w:rPr>
                <w:rFonts w:ascii="黑体" w:hAnsi="黑体" w:eastAsia="黑体"/>
                <w:sz w:val="21"/>
                <w:szCs w:val="21"/>
              </w:rPr>
            </w:pPr>
            <w:r>
              <w:rPr>
                <w:rFonts w:hint="eastAsia" w:ascii="黑体" w:hAnsi="黑体" w:eastAsia="黑体"/>
                <w:sz w:val="21"/>
                <w:szCs w:val="21"/>
              </w:rPr>
              <w:t>科研机构</w:t>
            </w:r>
          </w:p>
        </w:tc>
        <w:tc>
          <w:tcPr>
            <w:tcW w:w="731" w:type="dxa"/>
            <w:shd w:val="clear" w:color="auto" w:fill="auto"/>
            <w:tcMar>
              <w:left w:w="108" w:type="dxa"/>
              <w:right w:w="108" w:type="dxa"/>
            </w:tcMar>
            <w:vAlign w:val="center"/>
          </w:tcPr>
          <w:p>
            <w:pPr>
              <w:jc w:val="center"/>
              <w:rPr>
                <w:rFonts w:ascii="黑体" w:hAnsi="黑体" w:eastAsia="黑体"/>
                <w:sz w:val="21"/>
                <w:szCs w:val="21"/>
              </w:rPr>
            </w:pPr>
            <w:r>
              <w:rPr>
                <w:rFonts w:hint="eastAsia" w:ascii="黑体" w:hAnsi="黑体" w:eastAsia="黑体"/>
                <w:sz w:val="21"/>
                <w:szCs w:val="21"/>
              </w:rPr>
              <w:t>社会公益组织</w:t>
            </w:r>
          </w:p>
        </w:tc>
        <w:tc>
          <w:tcPr>
            <w:tcW w:w="708" w:type="dxa"/>
            <w:shd w:val="clear" w:color="auto" w:fill="auto"/>
            <w:tcMar>
              <w:left w:w="108" w:type="dxa"/>
              <w:right w:w="108" w:type="dxa"/>
            </w:tcMar>
            <w:vAlign w:val="center"/>
          </w:tcPr>
          <w:p>
            <w:pPr>
              <w:jc w:val="center"/>
              <w:rPr>
                <w:rFonts w:ascii="黑体" w:hAnsi="黑体" w:eastAsia="黑体"/>
                <w:sz w:val="21"/>
                <w:szCs w:val="21"/>
              </w:rPr>
            </w:pPr>
            <w:r>
              <w:rPr>
                <w:rFonts w:hint="eastAsia" w:ascii="黑体" w:hAnsi="黑体" w:eastAsia="黑体"/>
                <w:sz w:val="21"/>
                <w:szCs w:val="21"/>
              </w:rPr>
              <w:t>法律服务机构</w:t>
            </w:r>
          </w:p>
        </w:tc>
        <w:tc>
          <w:tcPr>
            <w:tcW w:w="567" w:type="dxa"/>
            <w:shd w:val="clear" w:color="auto" w:fill="auto"/>
            <w:tcMar>
              <w:left w:w="108" w:type="dxa"/>
              <w:right w:w="108" w:type="dxa"/>
            </w:tcMar>
            <w:vAlign w:val="center"/>
          </w:tcPr>
          <w:p>
            <w:pPr>
              <w:jc w:val="center"/>
              <w:rPr>
                <w:rFonts w:ascii="黑体" w:hAnsi="黑体" w:eastAsia="黑体"/>
                <w:sz w:val="21"/>
                <w:szCs w:val="21"/>
              </w:rPr>
            </w:pPr>
            <w:r>
              <w:rPr>
                <w:rFonts w:hint="eastAsia" w:ascii="黑体" w:hAnsi="黑体" w:eastAsia="黑体"/>
                <w:sz w:val="21"/>
                <w:szCs w:val="21"/>
              </w:rPr>
              <w:t>其他</w:t>
            </w:r>
          </w:p>
        </w:tc>
        <w:tc>
          <w:tcPr>
            <w:tcW w:w="851" w:type="dxa"/>
            <w:vMerge w:val="continue"/>
            <w:shd w:val="clear" w:color="auto" w:fill="auto"/>
            <w:tcMar>
              <w:left w:w="108" w:type="dxa"/>
              <w:right w:w="108" w:type="dxa"/>
            </w:tcMar>
            <w:vAlign w:val="center"/>
          </w:tcPr>
          <w:p>
            <w:pPr>
              <w:jc w:val="center"/>
              <w:rPr>
                <w:rFonts w:ascii="黑体" w:hAnsi="黑体" w:eastAsia="黑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kern w:val="0"/>
                <w:sz w:val="21"/>
                <w:szCs w:val="21"/>
              </w:rPr>
            </w:pPr>
            <w:r>
              <w:rPr>
                <w:rFonts w:hint="eastAsia" w:ascii="黑体" w:hAnsi="黑体" w:eastAsia="黑体"/>
                <w:kern w:val="0"/>
                <w:sz w:val="21"/>
                <w:szCs w:val="21"/>
              </w:rPr>
              <w:t>一、</w:t>
            </w:r>
            <w:bookmarkStart w:id="0" w:name="_Hlk66973412"/>
            <w:r>
              <w:rPr>
                <w:rFonts w:hint="eastAsia" w:ascii="黑体" w:hAnsi="黑体" w:eastAsia="黑体"/>
                <w:kern w:val="0"/>
                <w:sz w:val="21"/>
                <w:szCs w:val="21"/>
              </w:rPr>
              <w:t>本年新收政府信息公开申请数量</w:t>
            </w:r>
            <w:bookmarkEnd w:id="0"/>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2</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kern w:val="0"/>
                <w:sz w:val="21"/>
                <w:szCs w:val="21"/>
              </w:rPr>
            </w:pPr>
            <w:r>
              <w:rPr>
                <w:rFonts w:hint="eastAsia" w:ascii="黑体" w:hAnsi="黑体" w:eastAsia="黑体"/>
                <w:kern w:val="0"/>
                <w:sz w:val="21"/>
                <w:szCs w:val="21"/>
              </w:rPr>
              <w:t>二、上年结转政府信息公开申请数量</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rPr>
                <w:rFonts w:ascii="黑体" w:hAnsi="黑体" w:eastAsia="黑体"/>
                <w:kern w:val="0"/>
                <w:sz w:val="21"/>
                <w:szCs w:val="21"/>
              </w:rPr>
            </w:pPr>
            <w:r>
              <w:rPr>
                <w:rFonts w:hint="eastAsia" w:ascii="黑体" w:hAnsi="黑体" w:eastAsia="黑体"/>
                <w:kern w:val="0"/>
                <w:sz w:val="21"/>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kern w:val="0"/>
                <w:sz w:val="21"/>
                <w:szCs w:val="21"/>
              </w:rPr>
            </w:pPr>
            <w:r>
              <w:rPr>
                <w:rFonts w:hint="eastAsia" w:ascii="黑体" w:hAnsi="黑体" w:eastAsia="黑体"/>
                <w:kern w:val="0"/>
                <w:sz w:val="21"/>
                <w:szCs w:val="21"/>
              </w:rPr>
              <w:t>（一）予以公开</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1</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4677" w:type="dxa"/>
            <w:gridSpan w:val="2"/>
            <w:shd w:val="clear" w:color="auto" w:fill="auto"/>
            <w:tcMar>
              <w:left w:w="108" w:type="dxa"/>
              <w:right w:w="108" w:type="dxa"/>
            </w:tcMar>
            <w:vAlign w:val="center"/>
          </w:tcPr>
          <w:p>
            <w:pPr>
              <w:widowControl/>
              <w:rPr>
                <w:rFonts w:ascii="黑体" w:hAnsi="黑体" w:eastAsia="黑体"/>
                <w:kern w:val="0"/>
                <w:sz w:val="21"/>
                <w:szCs w:val="21"/>
              </w:rPr>
            </w:pPr>
            <w:r>
              <w:rPr>
                <w:rFonts w:hint="eastAsia" w:ascii="黑体" w:hAnsi="黑体" w:eastAsia="黑体"/>
                <w:kern w:val="0"/>
                <w:sz w:val="21"/>
                <w:szCs w:val="21"/>
              </w:rPr>
              <w:t>（二）部分公开（</w:t>
            </w:r>
            <w:bookmarkStart w:id="1" w:name="_Hlk66973981"/>
            <w:r>
              <w:rPr>
                <w:rFonts w:hint="eastAsia" w:ascii="黑体" w:hAnsi="黑体" w:eastAsia="黑体"/>
                <w:kern w:val="0"/>
                <w:sz w:val="21"/>
                <w:szCs w:val="21"/>
              </w:rPr>
              <w:t>区分处理的，只计这一情形，不计其他情形</w:t>
            </w:r>
            <w:bookmarkEnd w:id="1"/>
            <w:r>
              <w:rPr>
                <w:rFonts w:hint="eastAsia" w:ascii="黑体" w:hAnsi="黑体" w:eastAsia="黑体"/>
                <w:kern w:val="0"/>
                <w:sz w:val="21"/>
                <w:szCs w:val="21"/>
              </w:rPr>
              <w:t>）</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eastAsia="仿宋_GB2312"/>
                <w:szCs w:val="21"/>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rPr>
                <w:rFonts w:ascii="黑体" w:hAnsi="黑体" w:eastAsia="黑体"/>
                <w:kern w:val="0"/>
                <w:sz w:val="21"/>
                <w:szCs w:val="21"/>
              </w:rPr>
            </w:pPr>
            <w:r>
              <w:rPr>
                <w:rFonts w:hint="eastAsia" w:ascii="黑体" w:hAnsi="黑体" w:eastAsia="黑体"/>
                <w:kern w:val="0"/>
                <w:sz w:val="21"/>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1.属于国家秘密</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2.</w:t>
            </w:r>
            <w:bookmarkStart w:id="2" w:name="_Hlk66974104"/>
            <w:r>
              <w:rPr>
                <w:rFonts w:hint="eastAsia" w:ascii="仿宋_GB2312" w:hAnsi="黑体" w:eastAsia="仿宋_GB2312"/>
                <w:kern w:val="0"/>
                <w:sz w:val="21"/>
                <w:szCs w:val="21"/>
              </w:rPr>
              <w:t>其他法律行政法规禁止公开</w:t>
            </w:r>
            <w:bookmarkEnd w:id="2"/>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default"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3.危及“三安全一稳定”</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4.</w:t>
            </w:r>
            <w:bookmarkStart w:id="3" w:name="_Hlk66974290"/>
            <w:r>
              <w:rPr>
                <w:rFonts w:hint="eastAsia" w:ascii="仿宋_GB2312" w:hAnsi="黑体" w:eastAsia="仿宋_GB2312"/>
                <w:kern w:val="0"/>
                <w:sz w:val="21"/>
                <w:szCs w:val="21"/>
              </w:rPr>
              <w:t>保护第三方合法权益</w:t>
            </w:r>
            <w:bookmarkEnd w:id="3"/>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5.属于三类内部事务信息</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6.</w:t>
            </w:r>
            <w:bookmarkStart w:id="4" w:name="_Hlk66974555"/>
            <w:r>
              <w:rPr>
                <w:rFonts w:hint="eastAsia" w:ascii="仿宋_GB2312" w:hAnsi="黑体" w:eastAsia="仿宋_GB2312"/>
                <w:kern w:val="0"/>
                <w:sz w:val="21"/>
                <w:szCs w:val="21"/>
              </w:rPr>
              <w:t>属于四类过程性信息</w:t>
            </w:r>
            <w:bookmarkEnd w:id="4"/>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1</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default"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7.属于行政执法案卷</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8.</w:t>
            </w:r>
            <w:bookmarkStart w:id="5" w:name="_Hlk66975211"/>
            <w:r>
              <w:rPr>
                <w:rFonts w:hint="eastAsia" w:ascii="仿宋_GB2312" w:hAnsi="黑体" w:eastAsia="仿宋_GB2312"/>
                <w:kern w:val="0"/>
                <w:sz w:val="21"/>
                <w:szCs w:val="21"/>
              </w:rPr>
              <w:t>属于行政查询事项</w:t>
            </w:r>
            <w:bookmarkEnd w:id="5"/>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rPr>
                <w:rFonts w:ascii="黑体" w:hAnsi="黑体" w:eastAsia="黑体"/>
                <w:kern w:val="0"/>
                <w:sz w:val="21"/>
                <w:szCs w:val="21"/>
              </w:rPr>
            </w:pPr>
            <w:r>
              <w:rPr>
                <w:rFonts w:hint="eastAsia" w:ascii="黑体" w:hAnsi="黑体" w:eastAsia="黑体"/>
                <w:kern w:val="0"/>
                <w:sz w:val="21"/>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1.本机关不掌握相关政府信息</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default"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2.</w:t>
            </w:r>
            <w:bookmarkStart w:id="6" w:name="_Hlk66975392"/>
            <w:r>
              <w:rPr>
                <w:rFonts w:hint="eastAsia" w:ascii="仿宋_GB2312" w:hAnsi="黑体" w:eastAsia="仿宋_GB2312"/>
                <w:kern w:val="0"/>
                <w:sz w:val="21"/>
                <w:szCs w:val="21"/>
              </w:rPr>
              <w:t>没有现成信息需要另行制作</w:t>
            </w:r>
            <w:bookmarkEnd w:id="6"/>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3.</w:t>
            </w:r>
            <w:bookmarkStart w:id="7" w:name="_Hlk66975466"/>
            <w:r>
              <w:rPr>
                <w:rFonts w:hint="eastAsia" w:ascii="仿宋_GB2312" w:hAnsi="黑体" w:eastAsia="仿宋_GB2312"/>
                <w:kern w:val="0"/>
                <w:sz w:val="21"/>
                <w:szCs w:val="21"/>
              </w:rPr>
              <w:t>补正后申请内容仍不明确</w:t>
            </w:r>
            <w:bookmarkEnd w:id="7"/>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rPr>
                <w:rFonts w:ascii="黑体" w:hAnsi="黑体" w:eastAsia="黑体"/>
                <w:kern w:val="0"/>
                <w:sz w:val="21"/>
                <w:szCs w:val="21"/>
              </w:rPr>
            </w:pPr>
            <w:r>
              <w:rPr>
                <w:rFonts w:hint="eastAsia" w:ascii="黑体" w:hAnsi="黑体" w:eastAsia="黑体"/>
                <w:kern w:val="0"/>
                <w:sz w:val="21"/>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1.</w:t>
            </w:r>
            <w:bookmarkStart w:id="8" w:name="_Hlk66975537"/>
            <w:r>
              <w:rPr>
                <w:rFonts w:hint="eastAsia" w:ascii="仿宋_GB2312" w:hAnsi="黑体" w:eastAsia="仿宋_GB2312"/>
                <w:kern w:val="0"/>
                <w:sz w:val="21"/>
                <w:szCs w:val="21"/>
              </w:rPr>
              <w:t>信访举报投诉类申请</w:t>
            </w:r>
            <w:bookmarkEnd w:id="8"/>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2.重复申请</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3.要求提供公开出版物</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default"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4.无正当理由大量反复申请</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rPr>
                <w:rFonts w:ascii="黑体" w:hAnsi="黑体" w:eastAsia="黑体"/>
                <w:kern w:val="0"/>
                <w:sz w:val="21"/>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5.要求行政机关确认或重新</w:t>
            </w:r>
          </w:p>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出具已获取信息</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rPr>
                <w:rFonts w:ascii="黑体" w:hAnsi="黑体" w:eastAsia="黑体"/>
                <w:kern w:val="0"/>
                <w:sz w:val="21"/>
                <w:szCs w:val="21"/>
              </w:rPr>
            </w:pPr>
            <w:r>
              <w:rPr>
                <w:rFonts w:hint="eastAsia" w:ascii="黑体" w:hAnsi="黑体" w:eastAsia="黑体"/>
                <w:kern w:val="0"/>
                <w:sz w:val="21"/>
                <w:szCs w:val="21"/>
              </w:rPr>
              <w:t>（六）其他处理</w:t>
            </w:r>
          </w:p>
        </w:tc>
        <w:tc>
          <w:tcPr>
            <w:tcW w:w="2976" w:type="dxa"/>
            <w:shd w:val="clear" w:color="auto" w:fill="auto"/>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1.申请人无正当理由逾期不补正、行政机关不再处理其政府信息公开申请</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2.申请人逾期未按收费通知要求缴纳费用、行政机关不再处理其政府信息公开申请</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default"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200" w:lineRule="exact"/>
              <w:rPr>
                <w:rFonts w:ascii="仿宋_GB2312" w:hAnsi="黑体" w:eastAsia="仿宋_GB2312"/>
                <w:kern w:val="0"/>
                <w:sz w:val="21"/>
                <w:szCs w:val="21"/>
              </w:rPr>
            </w:pPr>
            <w:r>
              <w:rPr>
                <w:rFonts w:hint="eastAsia" w:ascii="仿宋_GB2312" w:hAnsi="黑体" w:eastAsia="仿宋_GB2312"/>
                <w:kern w:val="0"/>
                <w:sz w:val="21"/>
                <w:szCs w:val="21"/>
              </w:rPr>
              <w:t>3.其他</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hAnsi="Times New Roman" w:eastAsia="仿宋_GB2312" w:cstheme="minorBidi"/>
                <w:kern w:val="2"/>
                <w:sz w:val="32"/>
                <w:szCs w:val="21"/>
                <w:lang w:val="en-US" w:eastAsia="zh-CN" w:bidi="ar-SA"/>
              </w:rPr>
            </w:pPr>
            <w:r>
              <w:rPr>
                <w:rFonts w:hint="eastAsia" w:ascii="仿宋_GB2312"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90" w:hRule="atLeas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 w:val="21"/>
                <w:szCs w:val="21"/>
              </w:rPr>
              <w:t>（七）总计</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2</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default"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99" w:hRule="atLeast"/>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 w:val="21"/>
                <w:szCs w:val="21"/>
              </w:rPr>
              <w:t>四、结转下年度继续办理</w:t>
            </w:r>
          </w:p>
        </w:tc>
        <w:tc>
          <w:tcPr>
            <w:tcW w:w="829"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hint="eastAsia" w:ascii="仿宋_GB2312"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center"/>
              <w:textAlignment w:val="auto"/>
              <w:rPr>
                <w:rFonts w:ascii="仿宋_GB2312" w:eastAsia="仿宋_GB2312"/>
                <w:szCs w:val="21"/>
              </w:rPr>
            </w:pPr>
            <w:r>
              <w:rPr>
                <w:rFonts w:hint="eastAsia" w:ascii="仿宋_GB2312" w:eastAsia="仿宋_GB2312"/>
                <w:szCs w:val="21"/>
                <w:lang w:val="en-US" w:eastAsia="zh-CN"/>
              </w:rPr>
              <w:t>0</w:t>
            </w:r>
          </w:p>
        </w:tc>
      </w:tr>
    </w:tbl>
    <w:p>
      <w:pPr>
        <w:pStyle w:val="4"/>
        <w:widowControl/>
        <w:shd w:val="clear" w:color="auto" w:fill="FFFFFF"/>
        <w:spacing w:beforeAutospacing="0" w:afterAutospacing="0"/>
        <w:ind w:firstLine="42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结果维持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尚未审结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总计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s="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其他结果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尚未审结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color w:val="000000"/>
                <w:kern w:val="0"/>
                <w:sz w:val="24"/>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color w:val="000000"/>
                <w:kern w:val="0"/>
                <w:sz w:val="24"/>
              </w:rPr>
              <w:t>其他结果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kern w:val="0"/>
                <w:sz w:val="24"/>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黑体" w:hAnsi="黑体" w:eastAsia="黑体" w:cs="黑体"/>
                <w:sz w:val="24"/>
              </w:rPr>
            </w:pPr>
            <w:r>
              <w:rPr>
                <w:rFonts w:hint="eastAsia" w:ascii="黑体" w:hAnsi="黑体" w:eastAsia="黑体" w:cs="黑体"/>
                <w:color w:val="000000"/>
                <w:kern w:val="0"/>
                <w:sz w:val="24"/>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37"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tcPr>
          <w:p>
            <w:pPr>
              <w:spacing w:line="360" w:lineRule="exact"/>
              <w:rPr>
                <w:rFonts w:hint="eastAsia" w:eastAsiaTheme="minorEastAsia"/>
                <w:lang w:val="en-US" w:eastAsia="zh-CN"/>
              </w:rPr>
            </w:pPr>
            <w:r>
              <w:rPr>
                <w:rFonts w:cs="Calibri"/>
                <w:kern w:val="0"/>
                <w:sz w:val="24"/>
              </w:rPr>
              <w:t> </w:t>
            </w:r>
            <w:r>
              <w:rPr>
                <w:rFonts w:hint="eastAsia" w:cs="Calibri"/>
                <w:kern w:val="0"/>
                <w:sz w:val="24"/>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rPr>
                <w:rFonts w:hint="eastAsia" w:eastAsiaTheme="minorEastAsia"/>
                <w:lang w:eastAsia="zh-CN"/>
              </w:rPr>
            </w:pPr>
            <w:r>
              <w:rPr>
                <w:rFonts w:cs="Calibri"/>
                <w:kern w:val="0"/>
                <w:sz w:val="24"/>
              </w:rPr>
              <w:t> </w:t>
            </w:r>
            <w:r>
              <w:rPr>
                <w:rFonts w:hint="eastAsia" w:cs="Calibri"/>
                <w:kern w:val="0"/>
                <w:sz w:val="24"/>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rPr>
                <w:rFonts w:hint="eastAsia" w:eastAsiaTheme="minorEastAsia"/>
                <w:lang w:eastAsia="zh-CN"/>
              </w:rPr>
            </w:pPr>
            <w:r>
              <w:rPr>
                <w:rFonts w:hint="eastAsia" w:cs="Calibri"/>
                <w:kern w:val="0"/>
                <w:sz w:val="24"/>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rPr>
                <w:rFonts w:hint="eastAsia" w:eastAsiaTheme="minorEastAsia"/>
                <w:lang w:eastAsia="zh-CN"/>
              </w:rPr>
            </w:pPr>
            <w:r>
              <w:rPr>
                <w:rFonts w:hint="eastAsia" w:cs="Calibri"/>
                <w:kern w:val="0"/>
                <w:sz w:val="24"/>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rPr>
                <w:rFonts w:hint="eastAsia" w:eastAsiaTheme="minorEastAsia"/>
                <w:lang w:eastAsia="zh-CN"/>
              </w:rPr>
            </w:pPr>
            <w:r>
              <w:rPr>
                <w:rFonts w:hint="eastAsia" w:cs="Calibri"/>
                <w:kern w:val="0"/>
                <w:sz w:val="24"/>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tcPr>
          <w:p>
            <w:pPr>
              <w:spacing w:line="360" w:lineRule="exact"/>
            </w:pPr>
            <w:r>
              <w:rPr>
                <w:rFonts w:cs="Calibri"/>
                <w:kern w:val="0"/>
                <w:sz w:val="24"/>
              </w:rPr>
              <w:t> </w:t>
            </w:r>
            <w:r>
              <w:rPr>
                <w:rFonts w:hint="eastAsia" w:cs="Calibri"/>
                <w:kern w:val="0"/>
                <w:sz w:val="24"/>
              </w:rPr>
              <w:t>0</w:t>
            </w:r>
          </w:p>
        </w:tc>
      </w:tr>
    </w:tbl>
    <w:p>
      <w:pPr>
        <w:widowControl/>
        <w:shd w:val="clear" w:color="auto" w:fill="FFFFFF"/>
        <w:jc w:val="center"/>
        <w:rPr>
          <w:rFonts w:eastAsia="宋体" w:cs="宋体"/>
          <w:color w:val="333333"/>
          <w:sz w:val="24"/>
        </w:rPr>
      </w:pPr>
      <w:bookmarkStart w:id="9" w:name="_GoBack"/>
      <w:bookmarkEnd w:id="9"/>
    </w:p>
    <w:p>
      <w:pPr>
        <w:pStyle w:val="4"/>
        <w:widowControl/>
        <w:shd w:val="clear" w:color="auto" w:fill="FFFFFF"/>
        <w:spacing w:beforeAutospacing="0" w:afterAutospacing="0"/>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lang w:val="en-US" w:eastAsia="zh-CN"/>
        </w:rPr>
        <w:t>五</w:t>
      </w:r>
      <w:r>
        <w:rPr>
          <w:rFonts w:hint="eastAsia" w:ascii="黑体" w:hAnsi="黑体" w:eastAsia="黑体" w:cs="黑体"/>
          <w:bCs/>
          <w:color w:val="333333"/>
          <w:sz w:val="32"/>
          <w:szCs w:val="32"/>
          <w:shd w:val="clear" w:color="auto" w:fill="FFFFFF"/>
        </w:rPr>
        <w:t>、存在的主要问题及改进情况</w:t>
      </w:r>
    </w:p>
    <w:p>
      <w:pPr>
        <w:ind w:firstLine="640" w:firstLineChars="200"/>
        <w:rPr>
          <w:rFonts w:hint="eastAsia" w:ascii="仿宋_GB2312" w:hAnsi="Times New Roman" w:eastAsia="仿宋_GB2312"/>
          <w:kern w:val="0"/>
          <w:szCs w:val="32"/>
          <w:lang w:val="en-US" w:eastAsia="zh-CN"/>
        </w:rPr>
      </w:pPr>
      <w:r>
        <w:rPr>
          <w:rFonts w:hint="eastAsia" w:ascii="仿宋_GB2312" w:hAnsi="仿宋_GB2312" w:eastAsia="仿宋_GB2312" w:cs="仿宋_GB2312"/>
          <w:szCs w:val="32"/>
        </w:rPr>
        <w:t>目前高新</w:t>
      </w:r>
      <w:r>
        <w:rPr>
          <w:rFonts w:hint="eastAsia" w:ascii="仿宋_GB2312" w:eastAsia="仿宋_GB2312"/>
          <w:kern w:val="0"/>
          <w:szCs w:val="32"/>
        </w:rPr>
        <w:t>区市场监管局政府信息公开工作取得了一定成效，但与公众期盼、发展形势相比，还存在一些不适应，</w:t>
      </w:r>
      <w:r>
        <w:rPr>
          <w:rFonts w:hint="eastAsia" w:ascii="仿宋_GB2312" w:hAnsi="Times New Roman" w:eastAsia="仿宋_GB2312"/>
          <w:kern w:val="0"/>
          <w:szCs w:val="32"/>
        </w:rPr>
        <w:t>主要表现为：一是信息公开形式过于单一，大部分信息还是以文字表述为主，缺少图文、表格、数据分析等更加丰富的表述形式</w:t>
      </w:r>
      <w:r>
        <w:rPr>
          <w:rFonts w:hint="eastAsia" w:ascii="仿宋_GB2312" w:hAnsi="Times New Roman" w:eastAsia="仿宋_GB2312"/>
          <w:kern w:val="0"/>
          <w:szCs w:val="32"/>
          <w:lang w:eastAsia="zh-CN"/>
        </w:rPr>
        <w:t>；</w:t>
      </w:r>
      <w:r>
        <w:rPr>
          <w:rFonts w:hint="eastAsia" w:ascii="仿宋_GB2312" w:hAnsi="Times New Roman" w:eastAsia="仿宋_GB2312"/>
          <w:kern w:val="0"/>
          <w:szCs w:val="32"/>
          <w:lang w:val="en-US" w:eastAsia="zh-CN"/>
        </w:rPr>
        <w:t>二是信息公开内容审核不严，部分工作人员在提交及审核过程中，填报信息有遗漏或者出现错误等</w:t>
      </w:r>
      <w:r>
        <w:rPr>
          <w:rFonts w:hint="eastAsia" w:ascii="仿宋_GB2312" w:eastAsia="仿宋_GB2312"/>
          <w:kern w:val="0"/>
          <w:szCs w:val="32"/>
          <w:lang w:val="en-US" w:eastAsia="zh-CN"/>
        </w:rPr>
        <w:t>问题</w:t>
      </w:r>
      <w:r>
        <w:rPr>
          <w:rFonts w:hint="eastAsia" w:ascii="仿宋_GB2312" w:hAnsi="Times New Roman" w:eastAsia="仿宋_GB2312"/>
          <w:kern w:val="0"/>
          <w:szCs w:val="32"/>
          <w:lang w:val="en-US" w:eastAsia="zh-CN"/>
        </w:rPr>
        <w:t>；三是政务信息公开工作人员被安排紧急的工作或抽调时，</w:t>
      </w:r>
      <w:r>
        <w:rPr>
          <w:rFonts w:hint="eastAsia" w:ascii="仿宋_GB2312" w:eastAsia="仿宋_GB2312"/>
          <w:kern w:val="0"/>
          <w:szCs w:val="32"/>
          <w:lang w:val="en-US" w:eastAsia="zh-CN"/>
        </w:rPr>
        <w:t>容易出现断档，</w:t>
      </w:r>
      <w:r>
        <w:rPr>
          <w:rFonts w:hint="eastAsia" w:ascii="仿宋_GB2312" w:hAnsi="Times New Roman" w:eastAsia="仿宋_GB2312"/>
          <w:kern w:val="0"/>
          <w:szCs w:val="32"/>
          <w:lang w:val="en-US" w:eastAsia="zh-CN"/>
        </w:rPr>
        <w:t>导致信息更新不及时，不到位的问题。</w:t>
      </w:r>
    </w:p>
    <w:p>
      <w:pPr>
        <w:ind w:firstLine="640" w:firstLineChars="200"/>
        <w:rPr>
          <w:rFonts w:hint="eastAsia" w:ascii="仿宋_GB2312" w:hAnsi="Times New Roman" w:eastAsia="仿宋_GB2312"/>
          <w:kern w:val="0"/>
          <w:szCs w:val="32"/>
          <w:lang w:val="en-US" w:eastAsia="zh-CN"/>
        </w:rPr>
      </w:pPr>
      <w:r>
        <w:rPr>
          <w:rFonts w:hint="eastAsia" w:ascii="仿宋_GB2312" w:hAnsi="Times New Roman" w:eastAsia="仿宋_GB2312"/>
          <w:kern w:val="0"/>
          <w:szCs w:val="32"/>
          <w:lang w:val="en-US" w:eastAsia="zh-CN"/>
        </w:rPr>
        <w:t>改进措施：</w:t>
      </w:r>
    </w:p>
    <w:p>
      <w:pPr>
        <w:ind w:firstLine="640" w:firstLineChars="200"/>
        <w:rPr>
          <w:rFonts w:hint="eastAsia" w:ascii="仿宋_GB2312" w:eastAsia="仿宋_GB2312"/>
          <w:kern w:val="0"/>
          <w:szCs w:val="32"/>
          <w:lang w:val="en-US" w:eastAsia="zh-CN"/>
        </w:rPr>
      </w:pPr>
      <w:r>
        <w:rPr>
          <w:rFonts w:hint="eastAsia" w:ascii="仿宋_GB2312" w:eastAsia="仿宋_GB2312"/>
          <w:kern w:val="0"/>
          <w:szCs w:val="32"/>
          <w:lang w:val="en-US" w:eastAsia="zh-CN"/>
        </w:rPr>
        <w:t>一是健全组织。在原有已经成立的政府信息公开领导小组的基础上，加强对具体经办政府信息公开工作的联络员的配备，增设B岗，做到工作互相监督，确保工作不会断层脱节。二是完善制度。强化保密审查等各项制度，各科、所负责人为科室政府信息公开第一责任人，坚持“谁主管、谁负责，谁审批、谁负责”的原则，做到应公开的主动公开，不能公开的绝不公开。强化年度报告拟稿、核稿、审批各项流程，确保每个环节把关到位。三是加强学习。邀请信息公开工作业务能手授课，在全面深入学习《政府信息公开条例》等法律法规、规章制度的基础上，增强具体网络操作和务实技巧的培训，确保政府信息公开工作人员全面依法依规办好政府信息工作。</w:t>
      </w:r>
    </w:p>
    <w:p>
      <w:pPr>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ind w:left="0" w:right="0" w:firstLine="641"/>
        <w:jc w:val="both"/>
        <w:textAlignment w:val="auto"/>
        <w:outlineLvl w:val="9"/>
        <w:rPr>
          <w:rFonts w:hint="eastAsia" w:ascii="黑体" w:hAnsi="黑体" w:eastAsia="黑体" w:cs="黑体"/>
          <w:sz w:val="32"/>
          <w:szCs w:val="32"/>
        </w:rPr>
      </w:pPr>
      <w:r>
        <w:rPr>
          <w:rFonts w:hint="eastAsia" w:ascii="黑体" w:hAnsi="黑体" w:eastAsia="黑体" w:cs="黑体"/>
          <w:kern w:val="0"/>
          <w:sz w:val="32"/>
          <w:szCs w:val="32"/>
          <w:shd w:val="clear" w:fill="FFFFFF"/>
          <w:lang w:val="en-US" w:eastAsia="zh-CN" w:bidi="ar"/>
        </w:rPr>
        <w:t xml:space="preserve">六、其他需要报告的事项 </w:t>
      </w:r>
    </w:p>
    <w:p>
      <w:pPr>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ind w:left="0" w:right="0" w:firstLine="641"/>
        <w:jc w:val="both"/>
        <w:textAlignment w:val="auto"/>
        <w:outlineLvl w:val="9"/>
        <w:rPr>
          <w:rFonts w:hint="eastAsia" w:ascii="仿宋_GB2312" w:hAnsi="仿宋_GB2312" w:eastAsia="仿宋_GB2312" w:cs="仿宋_GB2312"/>
          <w:kern w:val="0"/>
          <w:sz w:val="32"/>
          <w:szCs w:val="32"/>
          <w:shd w:val="clear" w:fill="FFFFFF"/>
          <w:lang w:val="en-US" w:eastAsia="zh-CN" w:bidi="ar"/>
        </w:rPr>
      </w:pPr>
      <w:r>
        <w:rPr>
          <w:rFonts w:hint="eastAsia" w:ascii="仿宋_GB2312" w:hAnsi="仿宋_GB2312" w:eastAsia="仿宋_GB2312" w:cs="仿宋_GB2312"/>
          <w:kern w:val="0"/>
          <w:sz w:val="32"/>
          <w:szCs w:val="32"/>
          <w:shd w:val="clear" w:fill="FFFFFF"/>
          <w:lang w:val="en-US" w:eastAsia="zh-CN" w:bidi="ar"/>
        </w:rPr>
        <w:t xml:space="preserve">无。 </w:t>
      </w:r>
    </w:p>
    <w:p>
      <w:pPr>
        <w:spacing w:line="560" w:lineRule="exact"/>
        <w:ind w:firstLine="640" w:firstLineChars="200"/>
        <w:rPr>
          <w:rFonts w:hint="eastAsia" w:ascii="仿宋_GB2312" w:hAnsi="仿宋_GB2312" w:eastAsia="仿宋_GB2312" w:cs="仿宋_GB231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01C453E"/>
    <w:multiLevelType w:val="singleLevel"/>
    <w:tmpl w:val="401C453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E58CA"/>
    <w:rsid w:val="00197EF0"/>
    <w:rsid w:val="001F0FD2"/>
    <w:rsid w:val="001F70E7"/>
    <w:rsid w:val="00215746"/>
    <w:rsid w:val="00274B1A"/>
    <w:rsid w:val="002832C7"/>
    <w:rsid w:val="004133E7"/>
    <w:rsid w:val="00424EC9"/>
    <w:rsid w:val="00481F82"/>
    <w:rsid w:val="004B2597"/>
    <w:rsid w:val="004C7304"/>
    <w:rsid w:val="005108C3"/>
    <w:rsid w:val="00552943"/>
    <w:rsid w:val="0057322E"/>
    <w:rsid w:val="00634E26"/>
    <w:rsid w:val="00641A25"/>
    <w:rsid w:val="00657C3E"/>
    <w:rsid w:val="00673EE9"/>
    <w:rsid w:val="006B508D"/>
    <w:rsid w:val="006E09A4"/>
    <w:rsid w:val="00713A86"/>
    <w:rsid w:val="00882C13"/>
    <w:rsid w:val="008A3F18"/>
    <w:rsid w:val="009051A7"/>
    <w:rsid w:val="00934B06"/>
    <w:rsid w:val="00960E39"/>
    <w:rsid w:val="00987AD1"/>
    <w:rsid w:val="00A61B61"/>
    <w:rsid w:val="00A7426D"/>
    <w:rsid w:val="00B41E0C"/>
    <w:rsid w:val="00B64C58"/>
    <w:rsid w:val="00BD7F5E"/>
    <w:rsid w:val="00BF211B"/>
    <w:rsid w:val="00BF3BCA"/>
    <w:rsid w:val="00C36EEE"/>
    <w:rsid w:val="00C6322C"/>
    <w:rsid w:val="00C71750"/>
    <w:rsid w:val="00C847F9"/>
    <w:rsid w:val="00C9693B"/>
    <w:rsid w:val="00CA050D"/>
    <w:rsid w:val="00CD6C98"/>
    <w:rsid w:val="00D1722C"/>
    <w:rsid w:val="00D669B9"/>
    <w:rsid w:val="00DF52A2"/>
    <w:rsid w:val="00E60CC0"/>
    <w:rsid w:val="00E9196A"/>
    <w:rsid w:val="00E94476"/>
    <w:rsid w:val="00EE3A88"/>
    <w:rsid w:val="00EF7B74"/>
    <w:rsid w:val="00F96B8C"/>
    <w:rsid w:val="02864C4C"/>
    <w:rsid w:val="0BB96BEA"/>
    <w:rsid w:val="11E45F6B"/>
    <w:rsid w:val="192519EA"/>
    <w:rsid w:val="19C21C4E"/>
    <w:rsid w:val="1AAE5966"/>
    <w:rsid w:val="23D54B96"/>
    <w:rsid w:val="35973E3A"/>
    <w:rsid w:val="36617CA1"/>
    <w:rsid w:val="3B807501"/>
    <w:rsid w:val="3DD56C41"/>
    <w:rsid w:val="53491B0A"/>
    <w:rsid w:val="537B3B29"/>
    <w:rsid w:val="560D3A43"/>
    <w:rsid w:val="564E40E1"/>
    <w:rsid w:val="58AE58CA"/>
    <w:rsid w:val="5B2D10F5"/>
    <w:rsid w:val="5E40270F"/>
    <w:rsid w:val="604708CB"/>
    <w:rsid w:val="63650F39"/>
    <w:rsid w:val="66437043"/>
    <w:rsid w:val="66723681"/>
    <w:rsid w:val="6A8D3B49"/>
    <w:rsid w:val="6DD447BB"/>
    <w:rsid w:val="71014E58"/>
    <w:rsid w:val="745C1AE4"/>
    <w:rsid w:val="77470C41"/>
    <w:rsid w:val="7AA12ED1"/>
    <w:rsid w:val="7BD55DED"/>
    <w:rsid w:val="7E5044D0"/>
    <w:rsid w:val="7F526F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Theme="minorEastAsia" w:cstheme="minorBidi"/>
      <w:kern w:val="2"/>
      <w:sz w:val="32"/>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character" w:customStyle="1" w:styleId="7">
    <w:name w:val="页眉 Char"/>
    <w:basedOn w:val="6"/>
    <w:link w:val="3"/>
    <w:qFormat/>
    <w:uiPriority w:val="0"/>
    <w:rPr>
      <w:rFonts w:eastAsiaTheme="minorEastAsia" w:cstheme="minorBidi"/>
      <w:kern w:val="2"/>
      <w:sz w:val="18"/>
      <w:szCs w:val="18"/>
    </w:rPr>
  </w:style>
  <w:style w:type="character" w:customStyle="1" w:styleId="8">
    <w:name w:val="页脚 Char"/>
    <w:basedOn w:val="6"/>
    <w:link w:val="2"/>
    <w:qFormat/>
    <w:uiPriority w:val="0"/>
    <w:rPr>
      <w:rFonts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1987</Words>
  <Characters>536</Characters>
  <Lines>4</Lines>
  <Paragraphs>5</Paragraphs>
  <TotalTime>0</TotalTime>
  <ScaleCrop>false</ScaleCrop>
  <LinksUpToDate>false</LinksUpToDate>
  <CharactersWithSpaces>2518</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2021-01-05T07:31:00Z</dcterms:created>
  <dc:creator>Administrator</dc:creator>
  <cp:lastModifiedBy>到期换号+QQ959218669</cp:lastModifiedBy>
  <cp:lastPrinted>2022-01-25T07:48:00Z</cp:lastPrinted>
  <dcterms:modified xsi:type="dcterms:W3CDTF">2022-02-09T03:36:08Z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B0C208281E104042A4ACA68EA6196760</vt:lpwstr>
  </property>
</Properties>
</file>