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spacing w:line="600" w:lineRule="exact"/>
        <w:jc w:val="center"/>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sz w:val="44"/>
          <w:szCs w:val="44"/>
          <w:lang w:eastAsia="zh-CN"/>
        </w:rPr>
        <w:t>威海火炬高技术产业开发区财政金融</w:t>
      </w:r>
      <w:r>
        <w:rPr>
          <w:rFonts w:hint="eastAsia" w:ascii="文星简小标宋" w:hAnsi="文星简小标宋" w:eastAsia="文星简小标宋" w:cs="文星简小标宋"/>
          <w:color w:val="auto"/>
          <w:sz w:val="44"/>
          <w:szCs w:val="44"/>
        </w:rPr>
        <w:t>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文星简小标宋" w:hAnsi="文星简小标宋" w:eastAsia="文星简小标宋" w:cs="文星简小标宋"/>
          <w:b w:val="0"/>
          <w:bCs/>
          <w:i w:val="0"/>
          <w:caps w:val="0"/>
          <w:color w:val="auto"/>
          <w:spacing w:val="0"/>
          <w:sz w:val="44"/>
          <w:szCs w:val="44"/>
        </w:rPr>
      </w:pPr>
      <w:r>
        <w:rPr>
          <w:rFonts w:hint="eastAsia" w:ascii="文星简小标宋" w:hAnsi="文星简小标宋" w:eastAsia="文星简小标宋" w:cs="文星简小标宋"/>
          <w:b w:val="0"/>
          <w:bCs/>
          <w:i w:val="0"/>
          <w:caps w:val="0"/>
          <w:color w:val="auto"/>
          <w:spacing w:val="0"/>
          <w:sz w:val="44"/>
          <w:szCs w:val="44"/>
          <w:shd w:val="clear" w:fill="FFFFFF"/>
          <w:lang w:val="en-US" w:eastAsia="zh-CN"/>
        </w:rPr>
        <w:t>2020年</w:t>
      </w:r>
      <w:r>
        <w:rPr>
          <w:rFonts w:hint="eastAsia" w:ascii="文星简小标宋" w:hAnsi="文星简小标宋" w:eastAsia="文星简小标宋" w:cs="文星简小标宋"/>
          <w:b w:val="0"/>
          <w:bCs/>
          <w:i w:val="0"/>
          <w:caps w:val="0"/>
          <w:color w:val="auto"/>
          <w:spacing w:val="0"/>
          <w:sz w:val="44"/>
          <w:szCs w:val="44"/>
          <w:shd w:val="clear" w:fill="FFFFFF"/>
        </w:rPr>
        <w:t>政府信息公开工作年度报告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739" w:firstLineChars="231"/>
        <w:jc w:val="both"/>
        <w:rPr>
          <w:rFonts w:hint="eastAsia" w:ascii="黑体" w:hAnsi="黑体" w:eastAsia="黑体" w:cs="黑体"/>
          <w:b w:val="0"/>
          <w:bCs/>
          <w:i w:val="0"/>
          <w:caps w:val="0"/>
          <w:color w:val="auto"/>
          <w:spacing w:val="0"/>
          <w:sz w:val="32"/>
          <w:szCs w:val="32"/>
        </w:rPr>
      </w:pPr>
      <w:r>
        <w:rPr>
          <w:rFonts w:hint="eastAsia" w:ascii="黑体" w:hAnsi="黑体" w:eastAsia="黑体" w:cs="黑体"/>
          <w:b w:val="0"/>
          <w:bCs/>
          <w:i w:val="0"/>
          <w:caps w:val="0"/>
          <w:color w:val="auto"/>
          <w:spacing w:val="0"/>
          <w:sz w:val="32"/>
          <w:szCs w:val="32"/>
          <w:shd w:val="clear" w:fill="FFFFFF"/>
        </w:rPr>
        <w:t>一、总体情况</w:t>
      </w:r>
    </w:p>
    <w:p>
      <w:pPr>
        <w:ind w:firstLine="645"/>
        <w:rPr>
          <w:rFonts w:hint="eastAsia" w:ascii="仿宋_GB2312" w:eastAsia="仿宋_GB2312"/>
          <w:color w:val="auto"/>
          <w:sz w:val="32"/>
        </w:rPr>
      </w:pPr>
      <w:r>
        <w:rPr>
          <w:rFonts w:hint="eastAsia" w:ascii="仿宋_GB2312" w:eastAsia="仿宋_GB2312"/>
          <w:color w:val="auto"/>
          <w:sz w:val="32"/>
        </w:rPr>
        <w:t>20</w:t>
      </w:r>
      <w:r>
        <w:rPr>
          <w:rFonts w:hint="eastAsia" w:ascii="仿宋_GB2312" w:eastAsia="仿宋_GB2312"/>
          <w:color w:val="auto"/>
          <w:sz w:val="32"/>
          <w:lang w:val="en-US" w:eastAsia="zh-CN"/>
        </w:rPr>
        <w:t>20</w:t>
      </w:r>
      <w:r>
        <w:rPr>
          <w:rFonts w:hint="eastAsia" w:ascii="仿宋_GB2312" w:eastAsia="仿宋_GB2312"/>
          <w:color w:val="auto"/>
          <w:sz w:val="32"/>
        </w:rPr>
        <w:t>年，威海高区</w:t>
      </w:r>
      <w:r>
        <w:rPr>
          <w:rFonts w:hint="eastAsia" w:ascii="仿宋_GB2312" w:eastAsia="仿宋_GB2312"/>
          <w:color w:val="auto"/>
          <w:sz w:val="32"/>
          <w:lang w:eastAsia="zh-CN"/>
        </w:rPr>
        <w:t>财政金融局</w:t>
      </w:r>
      <w:r>
        <w:rPr>
          <w:rFonts w:hint="eastAsia" w:ascii="仿宋_GB2312" w:eastAsia="仿宋_GB2312"/>
          <w:color w:val="auto"/>
          <w:sz w:val="32"/>
        </w:rPr>
        <w:t>认真贯彻落实</w:t>
      </w:r>
      <w:r>
        <w:rPr>
          <w:rFonts w:hint="eastAsia" w:eastAsia="仿宋_GB2312"/>
          <w:color w:val="auto"/>
          <w:sz w:val="32"/>
        </w:rPr>
        <w:t>《中华人民共和国政府信息公开条例》（以下简称《条例》）和《山东省政府信息公开办法》（以下简称《办法》）的规定</w:t>
      </w:r>
      <w:r>
        <w:rPr>
          <w:rFonts w:hint="eastAsia" w:ascii="仿宋_GB2312" w:eastAsia="仿宋_GB2312"/>
          <w:color w:val="auto"/>
          <w:sz w:val="32"/>
          <w:szCs w:val="32"/>
        </w:rPr>
        <w:t>及《威海市人民政府办公室关于做好20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年政府信息公开工作年度报告编制工作的通知》要求，</w:t>
      </w:r>
      <w:r>
        <w:rPr>
          <w:rFonts w:hint="eastAsia" w:ascii="仿宋_GB2312" w:eastAsia="仿宋_GB2312"/>
          <w:color w:val="auto"/>
          <w:sz w:val="32"/>
        </w:rPr>
        <w:t>不断完善各种制度规章，依法、按时公开各种政府信息，不断强化信息公开的“全面度”，着力提高行政透明度和办事效率，促进政府机关依法行政，全面接受社会监督。</w:t>
      </w:r>
    </w:p>
    <w:p>
      <w:pPr>
        <w:ind w:firstLine="645"/>
        <w:rPr>
          <w:rFonts w:hint="eastAsia" w:ascii="仿宋_GB2312" w:eastAsia="仿宋_GB2312"/>
          <w:color w:val="auto"/>
          <w:sz w:val="32"/>
          <w:szCs w:val="32"/>
        </w:rPr>
      </w:pPr>
      <w:r>
        <w:rPr>
          <w:rFonts w:hint="eastAsia" w:ascii="仿宋_GB2312" w:eastAsia="仿宋_GB2312"/>
          <w:color w:val="auto"/>
          <w:sz w:val="32"/>
          <w:szCs w:val="32"/>
        </w:rPr>
        <w:t>现公布威海高区</w:t>
      </w:r>
      <w:r>
        <w:rPr>
          <w:rFonts w:hint="eastAsia" w:ascii="仿宋_GB2312" w:eastAsia="仿宋_GB2312"/>
          <w:color w:val="auto"/>
          <w:sz w:val="32"/>
          <w:szCs w:val="32"/>
          <w:lang w:eastAsia="zh-CN"/>
        </w:rPr>
        <w:t>财政金融局</w:t>
      </w:r>
      <w:r>
        <w:rPr>
          <w:rFonts w:hint="eastAsia" w:ascii="仿宋_GB2312" w:eastAsia="仿宋_GB2312"/>
          <w:color w:val="auto"/>
          <w:sz w:val="32"/>
          <w:szCs w:val="32"/>
        </w:rPr>
        <w:t>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年度政府信息公开工作报告。本报告由</w:t>
      </w:r>
      <w:r>
        <w:rPr>
          <w:rFonts w:hint="eastAsia" w:ascii="仿宋_GB2312" w:eastAsia="仿宋_GB2312"/>
          <w:color w:val="auto"/>
          <w:sz w:val="32"/>
          <w:szCs w:val="32"/>
          <w:lang w:val="en-US" w:eastAsia="zh-CN"/>
        </w:rPr>
        <w:t>总体情况</w:t>
      </w:r>
      <w:r>
        <w:rPr>
          <w:rFonts w:hint="eastAsia" w:ascii="仿宋_GB2312" w:eastAsia="仿宋_GB2312"/>
          <w:color w:val="auto"/>
          <w:sz w:val="32"/>
          <w:szCs w:val="32"/>
        </w:rPr>
        <w:t>、主动公开政府信息情况</w:t>
      </w:r>
      <w:r>
        <w:rPr>
          <w:rFonts w:hint="eastAsia" w:ascii="仿宋_GB2312" w:eastAsia="仿宋_GB2312"/>
          <w:color w:val="auto"/>
          <w:sz w:val="32"/>
          <w:szCs w:val="32"/>
          <w:lang w:eastAsia="zh-CN"/>
        </w:rPr>
        <w:t>、</w:t>
      </w:r>
      <w:r>
        <w:rPr>
          <w:rFonts w:hint="eastAsia" w:ascii="仿宋_GB2312" w:eastAsia="仿宋_GB2312"/>
          <w:color w:val="auto"/>
          <w:sz w:val="32"/>
          <w:szCs w:val="32"/>
        </w:rPr>
        <w:t>收到和处理政府信息公开申请情况</w:t>
      </w:r>
      <w:r>
        <w:rPr>
          <w:rFonts w:hint="eastAsia" w:ascii="仿宋_GB2312" w:eastAsia="仿宋_GB2312"/>
          <w:color w:val="auto"/>
          <w:sz w:val="32"/>
          <w:szCs w:val="32"/>
          <w:lang w:eastAsia="zh-CN"/>
        </w:rPr>
        <w:t>、</w:t>
      </w:r>
      <w:r>
        <w:rPr>
          <w:rFonts w:hint="eastAsia" w:ascii="仿宋_GB2312" w:eastAsia="仿宋_GB2312"/>
          <w:color w:val="auto"/>
          <w:sz w:val="32"/>
          <w:szCs w:val="32"/>
        </w:rPr>
        <w:t>政府信息公开行政复议</w:t>
      </w:r>
      <w:r>
        <w:rPr>
          <w:rFonts w:hint="eastAsia" w:ascii="仿宋_GB2312" w:eastAsia="仿宋_GB2312"/>
          <w:color w:val="auto"/>
          <w:sz w:val="32"/>
          <w:szCs w:val="32"/>
          <w:lang w:eastAsia="zh-CN"/>
        </w:rPr>
        <w:t>和</w:t>
      </w:r>
      <w:r>
        <w:rPr>
          <w:rFonts w:hint="eastAsia" w:ascii="仿宋_GB2312" w:eastAsia="仿宋_GB2312"/>
          <w:color w:val="auto"/>
          <w:sz w:val="32"/>
          <w:szCs w:val="32"/>
        </w:rPr>
        <w:t>行政诉讼情况</w:t>
      </w:r>
      <w:r>
        <w:rPr>
          <w:rFonts w:hint="eastAsia" w:ascii="仿宋_GB2312" w:eastAsia="仿宋_GB2312"/>
          <w:color w:val="auto"/>
          <w:sz w:val="32"/>
          <w:szCs w:val="32"/>
          <w:lang w:eastAsia="zh-CN"/>
        </w:rPr>
        <w:t>、</w:t>
      </w:r>
      <w:r>
        <w:rPr>
          <w:rFonts w:hint="eastAsia" w:ascii="仿宋_GB2312" w:eastAsia="仿宋_GB2312"/>
          <w:color w:val="auto"/>
          <w:sz w:val="32"/>
          <w:szCs w:val="32"/>
        </w:rPr>
        <w:t>存在的主要问题及改进情况</w:t>
      </w:r>
      <w:r>
        <w:rPr>
          <w:rFonts w:hint="eastAsia" w:ascii="仿宋_GB2312" w:eastAsia="仿宋_GB2312"/>
          <w:color w:val="auto"/>
          <w:sz w:val="32"/>
          <w:szCs w:val="32"/>
        </w:rPr>
        <w:t>等部分组成。</w:t>
      </w:r>
    </w:p>
    <w:p>
      <w:pPr>
        <w:ind w:firstLine="645"/>
        <w:rPr>
          <w:rFonts w:hint="eastAsia" w:ascii="仿宋_GB2312" w:eastAsia="仿宋_GB2312"/>
          <w:color w:val="auto"/>
          <w:sz w:val="32"/>
          <w:szCs w:val="32"/>
        </w:rPr>
      </w:pPr>
      <w:r>
        <w:rPr>
          <w:rFonts w:hint="eastAsia" w:ascii="仿宋_GB2312" w:eastAsia="仿宋_GB2312"/>
          <w:color w:val="auto"/>
          <w:sz w:val="32"/>
          <w:szCs w:val="32"/>
        </w:rPr>
        <w:t>本报告中所列数据的统计时限自20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年1月1日起至20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年12月31日止。本报告的电子版可在威海火炬高技术产业开发区门户网站（</w:t>
      </w:r>
      <w:r>
        <w:rPr>
          <w:rFonts w:ascii="仿宋_GB2312" w:eastAsia="仿宋_GB2312"/>
          <w:color w:val="auto"/>
          <w:sz w:val="32"/>
          <w:szCs w:val="32"/>
        </w:rPr>
        <w:t>http://</w:t>
      </w:r>
      <w:r>
        <w:rPr>
          <w:rFonts w:hint="eastAsia" w:ascii="仿宋_GB2312" w:eastAsia="仿宋_GB2312"/>
          <w:color w:val="auto"/>
          <w:sz w:val="32"/>
          <w:szCs w:val="32"/>
        </w:rPr>
        <w:t>www.whctp.gov.cn）下载。如对本报告有疑问，请与威海高区</w:t>
      </w:r>
      <w:r>
        <w:rPr>
          <w:rFonts w:hint="eastAsia" w:ascii="仿宋_GB2312" w:eastAsia="仿宋_GB2312"/>
          <w:color w:val="auto"/>
          <w:sz w:val="32"/>
          <w:szCs w:val="32"/>
          <w:lang w:eastAsia="zh-CN"/>
        </w:rPr>
        <w:t>财政金融局综合科</w:t>
      </w:r>
      <w:r>
        <w:rPr>
          <w:rFonts w:hint="eastAsia" w:ascii="仿宋_GB2312" w:eastAsia="仿宋_GB2312"/>
          <w:color w:val="auto"/>
          <w:sz w:val="32"/>
          <w:szCs w:val="32"/>
        </w:rPr>
        <w:t>联系（地址：威海市文化西路288号高新大厦</w:t>
      </w:r>
      <w:r>
        <w:rPr>
          <w:rFonts w:hint="eastAsia" w:ascii="仿宋_GB2312" w:eastAsia="仿宋_GB2312"/>
          <w:color w:val="auto"/>
          <w:sz w:val="32"/>
          <w:szCs w:val="32"/>
          <w:lang w:val="en-US" w:eastAsia="zh-CN"/>
        </w:rPr>
        <w:t>1504</w:t>
      </w:r>
      <w:r>
        <w:rPr>
          <w:rFonts w:hint="eastAsia" w:ascii="仿宋_GB2312" w:eastAsia="仿宋_GB2312"/>
          <w:color w:val="auto"/>
          <w:sz w:val="32"/>
          <w:szCs w:val="32"/>
        </w:rPr>
        <w:t>室，邮编：264209，电话：0631-56</w:t>
      </w:r>
      <w:r>
        <w:rPr>
          <w:rFonts w:hint="eastAsia" w:ascii="仿宋_GB2312" w:eastAsia="仿宋_GB2312"/>
          <w:color w:val="auto"/>
          <w:sz w:val="32"/>
          <w:szCs w:val="32"/>
          <w:lang w:val="en-US" w:eastAsia="zh-CN"/>
        </w:rPr>
        <w:t>23826</w:t>
      </w:r>
      <w:r>
        <w:rPr>
          <w:rFonts w:hint="eastAsia" w:ascii="仿宋_GB2312" w:eastAsia="仿宋_GB2312"/>
          <w:color w:val="auto"/>
          <w:sz w:val="32"/>
          <w:szCs w:val="32"/>
        </w:rPr>
        <w:t>）。</w:t>
      </w:r>
    </w:p>
    <w:p>
      <w:pPr>
        <w:ind w:firstLine="640" w:firstLineChars="200"/>
        <w:rPr>
          <w:rFonts w:hint="eastAsia" w:ascii="楷体_GB2312" w:hAnsi="楷体_GB2312" w:eastAsia="楷体_GB2312" w:cs="楷体_GB2312"/>
          <w:color w:val="auto"/>
          <w:sz w:val="32"/>
          <w:lang w:eastAsia="zh-CN"/>
        </w:rPr>
      </w:pPr>
      <w:r>
        <w:rPr>
          <w:rFonts w:hint="eastAsia" w:ascii="楷体_GB2312" w:hAnsi="楷体_GB2312" w:eastAsia="楷体_GB2312" w:cs="楷体_GB2312"/>
          <w:color w:val="auto"/>
          <w:sz w:val="32"/>
          <w:lang w:eastAsia="zh-CN"/>
        </w:rPr>
        <w:t>（一）政府信息公开组织领导和制度建设情况</w:t>
      </w:r>
    </w:p>
    <w:p>
      <w:pPr>
        <w:keepNext w:val="0"/>
        <w:keepLines w:val="0"/>
        <w:pageBreakBefore w:val="0"/>
        <w:widowControl w:val="0"/>
        <w:kinsoku/>
        <w:wordWrap/>
        <w:overflowPunct/>
        <w:topLinePunct w:val="0"/>
        <w:autoSpaceDE/>
        <w:autoSpaceDN/>
        <w:bidi w:val="0"/>
        <w:adjustRightInd/>
        <w:snapToGrid/>
        <w:spacing w:line="540" w:lineRule="exact"/>
        <w:ind w:firstLine="645"/>
        <w:textAlignment w:val="auto"/>
        <w:rPr>
          <w:rFonts w:hint="eastAsia" w:ascii="仿宋_GB2312" w:eastAsia="仿宋_GB2312"/>
          <w:color w:val="auto"/>
          <w:sz w:val="32"/>
          <w:szCs w:val="32"/>
        </w:rPr>
      </w:pPr>
      <w:r>
        <w:rPr>
          <w:rFonts w:hint="eastAsia" w:ascii="楷体_GB2312" w:eastAsia="楷体_GB2312"/>
          <w:color w:val="auto"/>
          <w:sz w:val="32"/>
        </w:rPr>
        <w:t>进一步完善了领导体系。</w:t>
      </w:r>
      <w:r>
        <w:rPr>
          <w:rFonts w:hint="eastAsia" w:ascii="仿宋_GB2312" w:hAnsi="宋体" w:eastAsia="仿宋_GB2312" w:cs="宋体"/>
          <w:color w:val="auto"/>
          <w:kern w:val="0"/>
          <w:sz w:val="32"/>
          <w:szCs w:val="32"/>
        </w:rPr>
        <w:t>根据实际工作情况，及时调整充实了高区财政</w:t>
      </w:r>
      <w:r>
        <w:rPr>
          <w:rFonts w:hint="eastAsia" w:ascii="仿宋_GB2312" w:hAnsi="宋体" w:eastAsia="仿宋_GB2312" w:cs="宋体"/>
          <w:color w:val="auto"/>
          <w:kern w:val="0"/>
          <w:sz w:val="32"/>
          <w:szCs w:val="32"/>
          <w:lang w:eastAsia="zh-CN"/>
        </w:rPr>
        <w:t>金融</w:t>
      </w:r>
      <w:r>
        <w:rPr>
          <w:rFonts w:hint="eastAsia" w:ascii="仿宋_GB2312" w:hAnsi="宋体" w:eastAsia="仿宋_GB2312" w:cs="宋体"/>
          <w:color w:val="auto"/>
          <w:kern w:val="0"/>
          <w:sz w:val="32"/>
          <w:szCs w:val="32"/>
        </w:rPr>
        <w:t>局信息公开工作领导小组成员，确保组织健全；按照对口原则和工作职责</w:t>
      </w:r>
      <w:r>
        <w:rPr>
          <w:rFonts w:hint="eastAsia" w:ascii="仿宋_GB2312" w:eastAsia="仿宋_GB2312"/>
          <w:color w:val="auto"/>
          <w:sz w:val="32"/>
          <w:szCs w:val="32"/>
        </w:rPr>
        <w:t>，信息公开工作仍由局综合科负责，现有兼职人员1名。</w:t>
      </w:r>
    </w:p>
    <w:p>
      <w:pPr>
        <w:pStyle w:val="2"/>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Times New Roman" w:eastAsia="仿宋_GB2312" w:cs="Times New Roman"/>
          <w:color w:val="auto"/>
          <w:sz w:val="32"/>
          <w:szCs w:val="32"/>
        </w:rPr>
      </w:pPr>
      <w:r>
        <w:rPr>
          <w:rFonts w:hint="eastAsia" w:ascii="楷体_GB2312" w:eastAsia="楷体_GB2312"/>
          <w:color w:val="auto"/>
          <w:sz w:val="32"/>
        </w:rPr>
        <w:t>进一步完善了各种规章制度。</w:t>
      </w:r>
      <w:r>
        <w:rPr>
          <w:rFonts w:hint="eastAsia" w:ascii="仿宋_GB2312" w:eastAsia="仿宋_GB2312"/>
          <w:color w:val="auto"/>
          <w:sz w:val="32"/>
          <w:szCs w:val="32"/>
        </w:rPr>
        <w:t>根据</w:t>
      </w:r>
      <w:r>
        <w:rPr>
          <w:rFonts w:hint="eastAsia" w:ascii="仿宋_GB2312" w:eastAsia="仿宋_GB2312"/>
          <w:color w:val="auto"/>
          <w:sz w:val="32"/>
          <w:szCs w:val="32"/>
          <w:lang w:eastAsia="zh-CN"/>
        </w:rPr>
        <w:t>区党工委相关</w:t>
      </w:r>
      <w:r>
        <w:rPr>
          <w:rFonts w:hint="eastAsia" w:ascii="仿宋_GB2312" w:eastAsia="仿宋_GB2312"/>
          <w:color w:val="auto"/>
          <w:sz w:val="32"/>
          <w:szCs w:val="32"/>
        </w:rPr>
        <w:t>要求, 制定了《</w:t>
      </w:r>
      <w:r>
        <w:rPr>
          <w:rFonts w:hint="eastAsia" w:ascii="仿宋_GB2312" w:eastAsia="仿宋_GB2312"/>
          <w:color w:val="auto"/>
          <w:sz w:val="32"/>
          <w:szCs w:val="32"/>
          <w:lang w:eastAsia="zh-CN"/>
        </w:rPr>
        <w:t>财政金融局</w:t>
      </w:r>
      <w:r>
        <w:rPr>
          <w:rFonts w:hint="eastAsia" w:ascii="仿宋_GB2312" w:eastAsia="仿宋_GB2312"/>
          <w:color w:val="auto"/>
          <w:sz w:val="32"/>
          <w:szCs w:val="32"/>
        </w:rPr>
        <w:t>政府信息公开实施方案》和《</w:t>
      </w:r>
      <w:r>
        <w:rPr>
          <w:rFonts w:hint="eastAsia" w:ascii="仿宋_GB2312" w:eastAsia="仿宋_GB2312"/>
          <w:color w:val="auto"/>
          <w:sz w:val="32"/>
          <w:szCs w:val="32"/>
          <w:lang w:eastAsia="zh-CN"/>
        </w:rPr>
        <w:t>财政金融局</w:t>
      </w:r>
      <w:r>
        <w:rPr>
          <w:rFonts w:hint="eastAsia" w:ascii="仿宋_GB2312" w:eastAsia="仿宋_GB2312"/>
          <w:color w:val="auto"/>
          <w:sz w:val="32"/>
          <w:szCs w:val="32"/>
        </w:rPr>
        <w:t>政府信息公开目录》，同时将政府信息公开情况</w:t>
      </w:r>
      <w:r>
        <w:rPr>
          <w:rFonts w:hint="eastAsia" w:ascii="仿宋_GB2312" w:hAnsi="Times New Roman" w:eastAsia="仿宋_GB2312" w:cs="Times New Roman"/>
          <w:color w:val="auto"/>
          <w:sz w:val="32"/>
          <w:szCs w:val="32"/>
        </w:rPr>
        <w:t>纳入20</w:t>
      </w:r>
      <w:r>
        <w:rPr>
          <w:rFonts w:hint="eastAsia" w:ascii="仿宋_GB2312" w:hAnsi="Times New Roman" w:eastAsia="仿宋_GB2312" w:cs="Times New Roman"/>
          <w:color w:val="auto"/>
          <w:sz w:val="32"/>
          <w:szCs w:val="32"/>
          <w:lang w:val="en-US" w:eastAsia="zh-CN"/>
        </w:rPr>
        <w:t>20</w:t>
      </w:r>
      <w:r>
        <w:rPr>
          <w:rFonts w:hint="eastAsia" w:ascii="仿宋_GB2312" w:hAnsi="Times New Roman" w:eastAsia="仿宋_GB2312" w:cs="Times New Roman"/>
          <w:color w:val="auto"/>
          <w:sz w:val="32"/>
          <w:szCs w:val="32"/>
        </w:rPr>
        <w:t>年</w:t>
      </w:r>
      <w:r>
        <w:rPr>
          <w:rFonts w:hint="eastAsia" w:ascii="仿宋_GB2312" w:hAnsi="Times New Roman" w:eastAsia="仿宋_GB2312" w:cs="Times New Roman"/>
          <w:color w:val="auto"/>
          <w:sz w:val="32"/>
          <w:szCs w:val="32"/>
          <w:lang w:eastAsia="zh-CN"/>
        </w:rPr>
        <w:t>财政金融局</w:t>
      </w:r>
      <w:r>
        <w:rPr>
          <w:rFonts w:hint="eastAsia" w:ascii="仿宋_GB2312" w:hAnsi="Times New Roman" w:eastAsia="仿宋_GB2312" w:cs="Times New Roman"/>
          <w:color w:val="auto"/>
          <w:sz w:val="32"/>
          <w:szCs w:val="32"/>
        </w:rPr>
        <w:t>岗位责任目标考核办法，督促局属各科室重视、落实政府信息公开工作。</w:t>
      </w:r>
    </w:p>
    <w:p>
      <w:pPr>
        <w:spacing w:line="560" w:lineRule="exact"/>
        <w:rPr>
          <w:rFonts w:hint="eastAsia" w:ascii="楷体_GB2312" w:hAnsi="楷体_GB2312" w:eastAsia="楷体_GB2312" w:cs="楷体_GB2312"/>
          <w:color w:val="auto"/>
          <w:sz w:val="32"/>
          <w:lang w:eastAsia="zh-CN"/>
        </w:rPr>
      </w:pPr>
      <w:r>
        <w:rPr>
          <w:rFonts w:hint="eastAsia" w:ascii="楷体_GB2312" w:hAnsi="楷体_GB2312" w:eastAsia="楷体_GB2312" w:cs="楷体_GB2312"/>
          <w:color w:val="auto"/>
          <w:sz w:val="32"/>
          <w:lang w:val="en-US" w:eastAsia="zh-CN"/>
        </w:rPr>
        <w:t xml:space="preserve">    （</w:t>
      </w:r>
      <w:r>
        <w:rPr>
          <w:rFonts w:hint="eastAsia" w:ascii="楷体_GB2312" w:hAnsi="楷体_GB2312" w:eastAsia="楷体_GB2312" w:cs="楷体_GB2312"/>
          <w:color w:val="auto"/>
          <w:sz w:val="32"/>
          <w:lang w:eastAsia="zh-CN"/>
        </w:rPr>
        <w:t>二）主动公开政府信息情况</w:t>
      </w:r>
    </w:p>
    <w:p>
      <w:pPr>
        <w:spacing w:line="560" w:lineRule="exact"/>
        <w:ind w:firstLine="640" w:firstLineChars="200"/>
        <w:rPr>
          <w:rFonts w:hint="eastAsia" w:ascii="仿宋_GB2312" w:eastAsia="仿宋_GB2312"/>
          <w:color w:val="auto"/>
          <w:sz w:val="32"/>
        </w:rPr>
      </w:pPr>
      <w:r>
        <w:rPr>
          <w:rFonts w:hint="eastAsia" w:ascii="仿宋_GB2312" w:eastAsia="仿宋_GB2312"/>
          <w:color w:val="auto"/>
          <w:sz w:val="32"/>
        </w:rPr>
        <w:t>20</w:t>
      </w:r>
      <w:r>
        <w:rPr>
          <w:rFonts w:hint="eastAsia" w:ascii="仿宋_GB2312" w:eastAsia="仿宋_GB2312"/>
          <w:color w:val="auto"/>
          <w:sz w:val="32"/>
          <w:lang w:val="en-US" w:eastAsia="zh-CN"/>
        </w:rPr>
        <w:t>20</w:t>
      </w:r>
      <w:r>
        <w:rPr>
          <w:rFonts w:hint="eastAsia" w:ascii="仿宋_GB2312" w:eastAsia="仿宋_GB2312"/>
          <w:color w:val="auto"/>
          <w:sz w:val="32"/>
        </w:rPr>
        <w:t>年，按照统一要求，在管委网站上公开了全区财政预决算</w:t>
      </w:r>
      <w:r>
        <w:rPr>
          <w:rFonts w:hint="eastAsia" w:ascii="仿宋_GB2312" w:eastAsia="仿宋_GB2312"/>
          <w:color w:val="auto"/>
          <w:sz w:val="32"/>
          <w:lang w:eastAsia="zh-CN"/>
        </w:rPr>
        <w:t>、</w:t>
      </w:r>
      <w:r>
        <w:rPr>
          <w:rFonts w:hint="eastAsia" w:ascii="仿宋_GB2312" w:eastAsia="仿宋_GB2312"/>
          <w:color w:val="auto"/>
          <w:sz w:val="32"/>
        </w:rPr>
        <w:t>部门预决算及三公经费</w:t>
      </w:r>
      <w:r>
        <w:rPr>
          <w:rFonts w:hint="eastAsia" w:ascii="仿宋_GB2312" w:eastAsia="仿宋_GB2312"/>
          <w:color w:val="auto"/>
          <w:sz w:val="32"/>
          <w:lang w:eastAsia="zh-CN"/>
        </w:rPr>
        <w:t>等</w:t>
      </w:r>
      <w:r>
        <w:rPr>
          <w:rFonts w:hint="eastAsia" w:ascii="仿宋_GB2312" w:eastAsia="仿宋_GB2312"/>
          <w:color w:val="auto"/>
          <w:sz w:val="32"/>
        </w:rPr>
        <w:t>情况。</w:t>
      </w:r>
    </w:p>
    <w:p>
      <w:pPr>
        <w:spacing w:line="560" w:lineRule="exact"/>
        <w:ind w:firstLine="640" w:firstLineChars="200"/>
        <w:rPr>
          <w:rFonts w:hint="eastAsia" w:ascii="楷体_GB2312" w:hAnsi="楷体_GB2312" w:eastAsia="楷体_GB2312" w:cs="楷体_GB2312"/>
          <w:color w:val="auto"/>
          <w:sz w:val="32"/>
          <w:lang w:eastAsia="zh-CN"/>
        </w:rPr>
      </w:pPr>
      <w:r>
        <w:rPr>
          <w:rFonts w:hint="eastAsia" w:ascii="楷体_GB2312" w:hAnsi="楷体_GB2312" w:eastAsia="楷体_GB2312" w:cs="楷体_GB2312"/>
          <w:color w:val="auto"/>
          <w:sz w:val="32"/>
          <w:lang w:eastAsia="zh-CN"/>
        </w:rPr>
        <w:t>（三）政府信息公开申请办理情况</w:t>
      </w:r>
    </w:p>
    <w:p>
      <w:pPr>
        <w:widowControl/>
        <w:ind w:firstLine="645"/>
        <w:jc w:val="left"/>
        <w:rPr>
          <w:rFonts w:hint="eastAsia" w:ascii="仿宋_GB2312" w:eastAsia="仿宋_GB2312"/>
          <w:color w:val="auto"/>
          <w:sz w:val="32"/>
        </w:rPr>
      </w:pPr>
      <w:r>
        <w:rPr>
          <w:rFonts w:hint="eastAsia" w:ascii="仿宋_GB2312" w:hAnsi="宋体" w:eastAsia="仿宋_GB2312" w:cs="宋体"/>
          <w:color w:val="auto"/>
          <w:kern w:val="0"/>
          <w:sz w:val="32"/>
        </w:rPr>
        <w:t>20</w:t>
      </w:r>
      <w:r>
        <w:rPr>
          <w:rFonts w:hint="eastAsia" w:ascii="仿宋_GB2312" w:hAnsi="宋体" w:eastAsia="仿宋_GB2312" w:cs="宋体"/>
          <w:color w:val="auto"/>
          <w:kern w:val="0"/>
          <w:sz w:val="32"/>
          <w:lang w:val="en-US" w:eastAsia="zh-CN"/>
        </w:rPr>
        <w:t>20</w:t>
      </w:r>
      <w:r>
        <w:rPr>
          <w:rFonts w:hint="eastAsia" w:ascii="仿宋_GB2312" w:hAnsi="宋体" w:eastAsia="仿宋_GB2312" w:cs="宋体"/>
          <w:color w:val="auto"/>
          <w:kern w:val="0"/>
          <w:sz w:val="32"/>
        </w:rPr>
        <w:t>年，我局未接到企业、群众提交的政府信息公开申请。</w:t>
      </w:r>
      <w:r>
        <w:rPr>
          <w:rFonts w:hint="eastAsia" w:ascii="仿宋_GB2312" w:hAnsi="宋体" w:eastAsia="仿宋_GB2312" w:cs="宋体"/>
          <w:color w:val="auto"/>
          <w:kern w:val="0"/>
          <w:sz w:val="32"/>
          <w:lang w:eastAsia="zh-CN"/>
        </w:rPr>
        <w:t>同时，</w:t>
      </w:r>
      <w:r>
        <w:rPr>
          <w:rFonts w:hint="eastAsia" w:ascii="仿宋_GB2312" w:eastAsia="仿宋_GB2312"/>
          <w:color w:val="auto"/>
          <w:sz w:val="32"/>
        </w:rPr>
        <w:t>未出现申请行政复议、提起行政诉讼的情况。具体工作中，</w:t>
      </w:r>
      <w:r>
        <w:rPr>
          <w:rFonts w:hint="eastAsia" w:ascii="仿宋_GB2312" w:hAnsi="宋体" w:eastAsia="仿宋_GB2312" w:cs="宋体"/>
          <w:color w:val="auto"/>
          <w:kern w:val="0"/>
          <w:sz w:val="32"/>
          <w:lang w:eastAsia="zh-CN"/>
        </w:rPr>
        <w:t>我局高度重视公众咨询的受理和答复，全年共受理和答复电话咨询近</w:t>
      </w:r>
      <w:r>
        <w:rPr>
          <w:rFonts w:hint="eastAsia" w:ascii="仿宋_GB2312" w:hAnsi="宋体" w:eastAsia="仿宋_GB2312" w:cs="宋体"/>
          <w:color w:val="auto"/>
          <w:kern w:val="0"/>
          <w:sz w:val="32"/>
          <w:lang w:val="en-US" w:eastAsia="zh-CN"/>
        </w:rPr>
        <w:t>2000</w:t>
      </w:r>
      <w:r>
        <w:rPr>
          <w:rFonts w:hint="eastAsia" w:ascii="仿宋_GB2312" w:hAnsi="宋体" w:eastAsia="仿宋_GB2312" w:cs="宋体"/>
          <w:color w:val="auto"/>
          <w:kern w:val="0"/>
          <w:sz w:val="32"/>
          <w:lang w:eastAsia="zh-CN"/>
        </w:rPr>
        <w:t>人次。</w:t>
      </w:r>
    </w:p>
    <w:p>
      <w:pPr>
        <w:spacing w:line="560" w:lineRule="exact"/>
        <w:rPr>
          <w:rFonts w:hint="eastAsia" w:ascii="楷体_GB2312" w:hAnsi="楷体_GB2312" w:eastAsia="楷体_GB2312" w:cs="楷体_GB2312"/>
          <w:color w:val="auto"/>
          <w:sz w:val="32"/>
          <w:lang w:eastAsia="zh-CN"/>
        </w:rPr>
      </w:pPr>
      <w:r>
        <w:rPr>
          <w:rFonts w:hint="eastAsia" w:ascii="楷体_GB2312" w:hAnsi="楷体_GB2312" w:eastAsia="楷体_GB2312" w:cs="楷体_GB2312"/>
          <w:color w:val="auto"/>
          <w:sz w:val="32"/>
          <w:lang w:val="en-US" w:eastAsia="zh-CN"/>
        </w:rPr>
        <w:t xml:space="preserve">   </w:t>
      </w:r>
      <w:r>
        <w:rPr>
          <w:rFonts w:hint="eastAsia" w:ascii="楷体_GB2312" w:hAnsi="楷体_GB2312" w:eastAsia="楷体_GB2312" w:cs="楷体_GB2312"/>
          <w:color w:val="auto"/>
          <w:sz w:val="32"/>
          <w:lang w:eastAsia="zh-CN"/>
        </w:rPr>
        <w:t>（四）政府信息公开保密审查及监督检查情况</w:t>
      </w:r>
    </w:p>
    <w:p>
      <w:pPr>
        <w:widowControl/>
        <w:ind w:firstLine="640" w:firstLineChars="200"/>
        <w:jc w:val="left"/>
        <w:rPr>
          <w:rFonts w:hint="eastAsia" w:ascii="仿宋_GB2312" w:hAnsi="宋体" w:eastAsia="仿宋_GB2312" w:cs="宋体"/>
          <w:color w:val="auto"/>
          <w:kern w:val="0"/>
          <w:sz w:val="32"/>
        </w:rPr>
      </w:pPr>
      <w:r>
        <w:rPr>
          <w:rFonts w:hint="eastAsia" w:ascii="仿宋_GB2312" w:hAnsi="宋体" w:eastAsia="仿宋_GB2312" w:cs="宋体"/>
          <w:color w:val="auto"/>
          <w:kern w:val="0"/>
          <w:sz w:val="32"/>
          <w:szCs w:val="32"/>
        </w:rPr>
        <w:t>接到上报相关公开信息后，我局对拟发信息进行保密安全审核，在确认所提交内容为可公开内容后，再由信息公开小组专职人员对信息进行公开，形成了</w:t>
      </w:r>
      <w:r>
        <w:rPr>
          <w:rFonts w:hint="eastAsia" w:ascii="仿宋_GB2312" w:hAnsi="宋体" w:eastAsia="仿宋_GB2312" w:cs="宋体"/>
          <w:color w:val="auto"/>
          <w:kern w:val="0"/>
          <w:sz w:val="32"/>
        </w:rPr>
        <w:t>及时对拟定公开材料进行事前保密审查、事后监督检查，确保所有公开信息准确无误、符合要求的工作机制。</w:t>
      </w:r>
      <w:bookmarkStart w:id="0" w:name="_GoBack"/>
      <w:bookmarkEnd w:id="0"/>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ind w:left="0" w:right="0" w:firstLine="739" w:firstLineChars="231"/>
        <w:jc w:val="both"/>
        <w:rPr>
          <w:rFonts w:hint="eastAsia" w:ascii="Times New Roman" w:hAnsi="Times New Roman" w:eastAsia="宋体" w:cs="宋体"/>
          <w:i w:val="0"/>
          <w:caps w:val="0"/>
          <w:color w:val="auto"/>
          <w:spacing w:val="0"/>
          <w:sz w:val="24"/>
          <w:szCs w:val="24"/>
        </w:rPr>
      </w:pPr>
      <w:r>
        <w:rPr>
          <w:rFonts w:hint="eastAsia" w:ascii="黑体" w:hAnsi="黑体" w:eastAsia="黑体" w:cs="黑体"/>
          <w:b w:val="0"/>
          <w:bCs/>
          <w:i w:val="0"/>
          <w:caps w:val="0"/>
          <w:color w:val="auto"/>
          <w:spacing w:val="0"/>
          <w:sz w:val="32"/>
          <w:szCs w:val="32"/>
          <w:shd w:val="clear" w:fill="FFFFFF"/>
        </w:rPr>
        <w:t>二、主动公开政府信息情况</w:t>
      </w:r>
    </w:p>
    <w:tbl>
      <w:tblPr>
        <w:tblStyle w:val="4"/>
        <w:tblW w:w="8140" w:type="dxa"/>
        <w:jc w:val="center"/>
        <w:tblInd w:w="0" w:type="dxa"/>
        <w:shd w:val="clear" w:color="auto" w:fill="auto"/>
        <w:tblLayout w:type="fixed"/>
        <w:tblCellMar>
          <w:top w:w="0" w:type="dxa"/>
          <w:left w:w="0" w:type="dxa"/>
          <w:bottom w:w="0" w:type="dxa"/>
          <w:right w:w="0" w:type="dxa"/>
        </w:tblCellMar>
      </w:tblPr>
      <w:tblGrid>
        <w:gridCol w:w="3113"/>
        <w:gridCol w:w="1869"/>
        <w:gridCol w:w="1277"/>
        <w:gridCol w:w="1881"/>
      </w:tblGrid>
      <w:tr>
        <w:tblPrEx>
          <w:shd w:val="clear" w:color="auto" w:fill="auto"/>
          <w:tblLayout w:type="fixed"/>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第二十条第（一）项</w:t>
            </w:r>
          </w:p>
        </w:tc>
      </w:tr>
      <w:tr>
        <w:tblPrEx>
          <w:tblLayout w:type="fixed"/>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本年新</w:t>
            </w:r>
            <w:r>
              <w:rPr>
                <w:rFonts w:hint="eastAsia" w:ascii="仿宋_GB2312" w:hAnsi="仿宋_GB2312" w:eastAsia="仿宋_GB2312" w:cs="仿宋_GB2312"/>
                <w:color w:val="auto"/>
                <w:kern w:val="0"/>
                <w:sz w:val="30"/>
                <w:szCs w:val="30"/>
                <w:lang w:val="en-US" w:eastAsia="zh-CN" w:bidi="ar"/>
              </w:rPr>
              <w:br w:type="textWrapping"/>
            </w:r>
            <w:r>
              <w:rPr>
                <w:rFonts w:hint="eastAsia" w:ascii="仿宋_GB2312" w:hAnsi="仿宋_GB2312" w:eastAsia="仿宋_GB2312" w:cs="仿宋_GB2312"/>
                <w:color w:val="auto"/>
                <w:kern w:val="0"/>
                <w:sz w:val="30"/>
                <w:szCs w:val="30"/>
                <w:lang w:val="en-US" w:eastAsia="zh-CN" w:bidi="ar"/>
              </w:rPr>
              <w:t>制作数量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本年新</w:t>
            </w:r>
            <w:r>
              <w:rPr>
                <w:rFonts w:hint="eastAsia" w:ascii="仿宋_GB2312" w:hAnsi="仿宋_GB2312" w:eastAsia="仿宋_GB2312" w:cs="仿宋_GB2312"/>
                <w:color w:val="auto"/>
                <w:kern w:val="0"/>
                <w:sz w:val="30"/>
                <w:szCs w:val="30"/>
                <w:lang w:val="en-US" w:eastAsia="zh-CN" w:bidi="ar"/>
              </w:rPr>
              <w:br w:type="textWrapping"/>
            </w:r>
            <w:r>
              <w:rPr>
                <w:rFonts w:hint="eastAsia" w:ascii="仿宋_GB2312" w:hAnsi="仿宋_GB2312" w:eastAsia="仿宋_GB2312" w:cs="仿宋_GB2312"/>
                <w:color w:val="auto"/>
                <w:kern w:val="0"/>
                <w:sz w:val="30"/>
                <w:szCs w:val="30"/>
                <w:lang w:val="en-US" w:eastAsia="zh-CN" w:bidi="ar"/>
              </w:rPr>
              <w:t>公开数量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sz w:val="30"/>
                <w:szCs w:val="30"/>
              </w:rPr>
            </w:pPr>
            <w:r>
              <w:rPr>
                <w:rFonts w:hint="eastAsia" w:ascii="仿宋_GB2312" w:hAnsi="仿宋_GB2312" w:eastAsia="仿宋_GB2312" w:cs="仿宋_GB2312"/>
                <w:color w:val="auto"/>
                <w:kern w:val="0"/>
                <w:sz w:val="30"/>
                <w:szCs w:val="30"/>
                <w:lang w:val="en-US" w:eastAsia="zh-CN" w:bidi="ar"/>
              </w:rPr>
              <w:t>对外公开总数量</w:t>
            </w:r>
          </w:p>
        </w:tc>
      </w:tr>
      <w:tr>
        <w:tblPrEx>
          <w:tblLayout w:type="fixed"/>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规章</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规范性文件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第二十条第（五）项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处理决定数量</w:t>
            </w:r>
          </w:p>
        </w:tc>
      </w:tr>
      <w:tr>
        <w:tblPrEx>
          <w:tblLayout w:type="fixed"/>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行政许可</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其他对外管理服务事项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第二十条第（六）项</w:t>
            </w:r>
          </w:p>
        </w:tc>
      </w:tr>
      <w:tr>
        <w:tblPrEx>
          <w:tblLayout w:type="fixed"/>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处理决定数量</w:t>
            </w:r>
          </w:p>
        </w:tc>
      </w:tr>
      <w:tr>
        <w:tblPrEx>
          <w:tblLayout w:type="fixed"/>
          <w:tblCellMar>
            <w:top w:w="0" w:type="dxa"/>
            <w:left w:w="0" w:type="dxa"/>
            <w:bottom w:w="0" w:type="dxa"/>
            <w:right w:w="0" w:type="dxa"/>
          </w:tblCellMar>
        </w:tblPrEx>
        <w:trPr>
          <w:trHeight w:val="73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行政处罚</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81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行政强制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r>
        <w:tblPrEx>
          <w:tblLayout w:type="fixed"/>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第二十条第（八）项</w:t>
            </w:r>
          </w:p>
        </w:tc>
      </w:tr>
      <w:tr>
        <w:tblPrEx>
          <w:tblLayout w:type="fixed"/>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上一年项目数量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本年增/减</w:t>
            </w:r>
          </w:p>
        </w:tc>
      </w:tr>
      <w:tr>
        <w:tblPrEx>
          <w:tblLayout w:type="fixed"/>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行政事业性收费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1　</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1</w:t>
            </w:r>
          </w:p>
        </w:tc>
      </w:tr>
      <w:tr>
        <w:tblPrEx>
          <w:tblLayout w:type="fixed"/>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rPr>
            </w:pPr>
            <w:r>
              <w:rPr>
                <w:rFonts w:hint="eastAsia" w:ascii="Times New Roman" w:hAnsi="Times New Roman" w:eastAsia="宋体" w:cs="宋体"/>
                <w:color w:val="auto"/>
                <w:kern w:val="0"/>
                <w:sz w:val="32"/>
                <w:szCs w:val="32"/>
                <w:lang w:val="en-US" w:eastAsia="zh-CN" w:bidi="ar"/>
              </w:rPr>
              <w:t>第二十条第（九）项</w:t>
            </w:r>
          </w:p>
        </w:tc>
      </w:tr>
      <w:tr>
        <w:tblPrEx>
          <w:tblLayout w:type="fixed"/>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采购项目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采购总金额</w:t>
            </w:r>
          </w:p>
        </w:tc>
      </w:tr>
      <w:tr>
        <w:tblPrEx>
          <w:tblLayout w:type="fixed"/>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政府集中采购</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　</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仿宋_GB2312" w:hAnsi="仿宋_GB2312" w:eastAsia="仿宋_GB2312" w:cs="仿宋_GB2312"/>
                <w:color w:val="auto"/>
                <w:kern w:val="0"/>
                <w:sz w:val="30"/>
                <w:szCs w:val="30"/>
                <w:lang w:val="en-US" w:eastAsia="zh-CN" w:bidi="ar"/>
              </w:rPr>
            </w:pPr>
            <w:r>
              <w:rPr>
                <w:rFonts w:hint="eastAsia" w:ascii="仿宋_GB2312" w:hAnsi="仿宋_GB2312" w:eastAsia="仿宋_GB2312" w:cs="仿宋_GB2312"/>
                <w:color w:val="auto"/>
                <w:kern w:val="0"/>
                <w:sz w:val="30"/>
                <w:szCs w:val="30"/>
                <w:lang w:val="en-US" w:eastAsia="zh-CN" w:bidi="ar"/>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三、收到和处理政府信息公开申请情况</w:t>
      </w:r>
    </w:p>
    <w:tbl>
      <w:tblPr>
        <w:tblStyle w:val="4"/>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16"/>
        <w:gridCol w:w="931"/>
        <w:gridCol w:w="2009"/>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813"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自然人</w:t>
            </w:r>
          </w:p>
        </w:tc>
        <w:tc>
          <w:tcPr>
            <w:tcW w:w="400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24"/>
                <w:szCs w:val="24"/>
              </w:rPr>
            </w:pPr>
            <w:r>
              <w:rPr>
                <w:rFonts w:hint="eastAsia" w:ascii="Times New Roman" w:hAnsi="Times New Roman" w:eastAsia="宋体" w:cs="宋体"/>
                <w:color w:val="auto"/>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813"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32"/>
                <w:szCs w:val="32"/>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商业企业</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科研机构</w:t>
            </w:r>
          </w:p>
        </w:tc>
        <w:tc>
          <w:tcPr>
            <w:tcW w:w="81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社会公益组织</w:t>
            </w:r>
          </w:p>
        </w:tc>
        <w:tc>
          <w:tcPr>
            <w:tcW w:w="97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法律服务机构</w:t>
            </w:r>
          </w:p>
        </w:tc>
        <w:tc>
          <w:tcPr>
            <w:tcW w:w="71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color w:val="auto"/>
                <w:sz w:val="32"/>
                <w:szCs w:val="32"/>
              </w:rPr>
            </w:pPr>
            <w:r>
              <w:rPr>
                <w:rFonts w:hint="eastAsia" w:ascii="Times New Roman" w:hAnsi="Times New Roman" w:eastAsia="宋体" w:cs="宋体"/>
                <w:color w:val="auto"/>
                <w:kern w:val="0"/>
                <w:sz w:val="32"/>
                <w:szCs w:val="32"/>
                <w:lang w:val="en-US" w:eastAsia="zh-CN" w:bidi="ar"/>
              </w:rPr>
              <w:t>其他</w:t>
            </w:r>
          </w:p>
        </w:tc>
        <w:tc>
          <w:tcPr>
            <w:tcW w:w="695"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color w:val="auto"/>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一、本年新收政府信息公开申请数量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eastAsia" w:cs="Calibri"/>
                <w:color w:val="auto"/>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二、上年结转政府信息公开申请数量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三、本年度办理结果</w:t>
            </w: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（一）予以公开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color w:val="auto"/>
                <w:sz w:val="28"/>
                <w:szCs w:val="28"/>
                <w:lang w:val="en-US"/>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（三）不予公开</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1.属于国家秘密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2.其他法律行政法规禁止公开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3.危及“三安全一稳定”</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4.保护第三方合法权益</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5.属于三类内部事务信息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6.属于四类过程性信息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7.属于行政执法案卷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8.属于行政查询事项</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（四）无法提供</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1.本机关不掌握相关政府信息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2.没有现成信息需要另行制作</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3.补正后申请内容仍不明确</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（五）不予处理</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1.信访举报投诉类申请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2.重复申请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3.要求提供公开出版物</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4.无正当理由大量反复申请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5.要求行政机关确认或重新出具已获取信息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（六）其他处理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color w:val="auto"/>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楷体" w:cs="楷体"/>
                <w:color w:val="auto"/>
                <w:kern w:val="0"/>
                <w:sz w:val="28"/>
                <w:szCs w:val="28"/>
                <w:lang w:val="en-US" w:eastAsia="zh-CN" w:bidi="ar"/>
              </w:rPr>
              <w:t>（七）总计</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color w:val="auto"/>
                <w:sz w:val="28"/>
                <w:szCs w:val="28"/>
              </w:rPr>
            </w:pPr>
            <w:r>
              <w:rPr>
                <w:rFonts w:hint="eastAsia" w:ascii="Times New Roman" w:hAnsi="Times New Roman" w:eastAsia="宋体" w:cs="宋体"/>
                <w:color w:val="auto"/>
                <w:kern w:val="0"/>
                <w:sz w:val="28"/>
                <w:szCs w:val="28"/>
                <w:lang w:val="en-US" w:eastAsia="zh-CN" w:bidi="ar"/>
              </w:rPr>
              <w:t>四、结转下年度继续办理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color w:val="auto"/>
                <w:sz w:val="28"/>
                <w:szCs w:val="28"/>
              </w:rPr>
            </w:pPr>
            <w:r>
              <w:rPr>
                <w:rFonts w:hint="eastAsia" w:cs="Calibri"/>
                <w:color w:val="auto"/>
                <w:kern w:val="0"/>
                <w:sz w:val="28"/>
                <w:szCs w:val="28"/>
                <w:lang w:val="en-US" w:eastAsia="zh-CN" w:bidi="ar"/>
              </w:rPr>
              <w:t>0</w:t>
            </w:r>
            <w:r>
              <w:rPr>
                <w:rFonts w:hint="default" w:ascii="Times New Roman" w:hAnsi="Times New Roman" w:cs="Calibri" w:eastAsiaTheme="minorEastAsia"/>
                <w:color w:val="auto"/>
                <w:kern w:val="0"/>
                <w:sz w:val="28"/>
                <w:szCs w:val="28"/>
                <w:lang w:val="en-US" w:eastAsia="zh-CN" w:bidi="ar"/>
              </w:rPr>
              <w:t> </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hint="eastAsia" w:ascii="Times New Roman" w:hAnsi="Times New Roman"/>
                <w:color w:val="auto"/>
                <w:sz w:val="28"/>
                <w:szCs w:val="28"/>
              </w:rPr>
            </w:pPr>
            <w:r>
              <w:rPr>
                <w:rFonts w:hint="default" w:ascii="Times New Roman" w:hAnsi="Times New Roman" w:cs="Calibri" w:eastAsiaTheme="minorEastAsia"/>
                <w:color w:val="auto"/>
                <w:kern w:val="0"/>
                <w:sz w:val="28"/>
                <w:szCs w:val="28"/>
                <w:lang w:val="en-US" w:eastAsia="zh-CN" w:bidi="ar"/>
              </w:rPr>
              <w:t> </w:t>
            </w:r>
            <w:r>
              <w:rPr>
                <w:rFonts w:hint="eastAsia" w:cs="Calibri"/>
                <w:color w:val="auto"/>
                <w:kern w:val="0"/>
                <w:sz w:val="28"/>
                <w:szCs w:val="28"/>
                <w:lang w:val="en-US" w:eastAsia="zh-CN" w:bidi="ar"/>
              </w:rPr>
              <w:t>0</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739" w:firstLineChars="231"/>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四、政府信息公开行政复议、行政诉讼情况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auto"/>
          <w:spacing w:val="0"/>
          <w:sz w:val="24"/>
          <w:szCs w:val="24"/>
        </w:rPr>
      </w:pPr>
    </w:p>
    <w:tbl>
      <w:tblPr>
        <w:tblStyle w:val="4"/>
        <w:tblW w:w="9071"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color w:val="auto"/>
                <w:sz w:val="24"/>
                <w:szCs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leftChars="0" w:right="0" w:rightChars="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lang w:val="en-US"/>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lang w:val="en-US"/>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lang w:val="en-US"/>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rPr>
            </w:pPr>
            <w:r>
              <w:rPr>
                <w:rFonts w:hint="eastAsia" w:eastAsia="宋体" w:cs="宋体"/>
                <w:color w:val="auto"/>
                <w:kern w:val="0"/>
                <w:sz w:val="24"/>
                <w:szCs w:val="24"/>
                <w:lang w:val="en-US" w:eastAsia="zh-CN" w:bidi="ar"/>
              </w:rPr>
              <w:t>0</w:t>
            </w:r>
            <w:r>
              <w:rPr>
                <w:rFonts w:hint="eastAsia" w:ascii="Times New Roman" w:hAnsi="Times New Roman" w:eastAsia="宋体" w:cs="宋体"/>
                <w:color w:val="auto"/>
                <w:kern w:val="0"/>
                <w:sz w:val="24"/>
                <w:szCs w:val="24"/>
                <w:lang w:val="en-US" w:eastAsia="zh-CN" w:bidi="ar"/>
              </w:rPr>
              <w:t> </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color w:val="auto"/>
                <w:sz w:val="24"/>
                <w:szCs w:val="24"/>
                <w:lang w:val="en-US"/>
              </w:rPr>
            </w:pPr>
            <w:r>
              <w:rPr>
                <w:rFonts w:hint="eastAsia" w:ascii="Times New Roman" w:hAnsi="Times New Roman" w:eastAsia="宋体" w:cs="宋体"/>
                <w:color w:val="auto"/>
                <w:kern w:val="0"/>
                <w:sz w:val="24"/>
                <w:szCs w:val="24"/>
                <w:lang w:val="en-US" w:eastAsia="zh-CN" w:bidi="ar"/>
              </w:rPr>
              <w:t> </w:t>
            </w:r>
            <w:r>
              <w:rPr>
                <w:rFonts w:hint="eastAsia" w:eastAsia="宋体" w:cs="宋体"/>
                <w:color w:val="auto"/>
                <w:kern w:val="0"/>
                <w:sz w:val="24"/>
                <w:szCs w:val="24"/>
                <w:lang w:val="en-US" w:eastAsia="zh-CN" w:bidi="ar"/>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color w:val="auto"/>
                <w:lang w:val="en-US" w:eastAsia="zh-CN"/>
              </w:rPr>
            </w:pPr>
            <w:r>
              <w:rPr>
                <w:rFonts w:hint="eastAsia" w:eastAsia="宋体" w:cs="宋体"/>
                <w:color w:val="auto"/>
                <w:kern w:val="0"/>
                <w:sz w:val="24"/>
                <w:szCs w:val="24"/>
                <w:lang w:val="en-US" w:eastAsia="zh-CN" w:bidi="ar"/>
              </w:rPr>
              <w:t xml:space="preserve"> 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宋体" w:cs="宋体"/>
          <w:i w:val="0"/>
          <w:caps w:val="0"/>
          <w:color w:val="auto"/>
          <w:spacing w:val="0"/>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739" w:firstLineChars="231"/>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五、存在的主要问题及改进情况</w:t>
      </w:r>
    </w:p>
    <w:p>
      <w:pPr>
        <w:keepNext w:val="0"/>
        <w:keepLines w:val="0"/>
        <w:pageBreakBefore w:val="0"/>
        <w:kinsoku/>
        <w:wordWrap/>
        <w:overflowPunct/>
        <w:topLinePunct w:val="0"/>
        <w:autoSpaceDE/>
        <w:autoSpaceDN/>
        <w:bidi w:val="0"/>
        <w:spacing w:line="500" w:lineRule="exact"/>
        <w:ind w:firstLine="645"/>
        <w:textAlignment w:val="auto"/>
        <w:rPr>
          <w:rFonts w:hint="eastAsia" w:ascii="仿宋_GB2312" w:eastAsia="仿宋_GB2312"/>
          <w:color w:val="auto"/>
          <w:sz w:val="32"/>
        </w:rPr>
      </w:pPr>
      <w:r>
        <w:rPr>
          <w:rFonts w:hint="eastAsia" w:ascii="仿宋_GB2312" w:eastAsia="仿宋_GB2312"/>
          <w:color w:val="auto"/>
          <w:sz w:val="32"/>
          <w:szCs w:val="32"/>
        </w:rPr>
        <w:t>在政府信息公开的工作中，目前还存在公开的信息不全面、公开渠道较单一、公众知晓率不够高等问题，我们将加大涉及公民、法人和其他组织切身利益以及需要社会公众广泛知晓或者参与的信息的公开力度，利用区管委政府信息网继续及时、准确地为公众提供服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739" w:firstLineChars="231"/>
        <w:jc w:val="both"/>
        <w:rPr>
          <w:rFonts w:hint="eastAsia" w:ascii="黑体" w:hAnsi="黑体" w:eastAsia="黑体" w:cs="黑体"/>
          <w:b w:val="0"/>
          <w:bCs/>
          <w:i w:val="0"/>
          <w:caps w:val="0"/>
          <w:color w:val="auto"/>
          <w:spacing w:val="0"/>
          <w:sz w:val="32"/>
          <w:szCs w:val="32"/>
          <w:shd w:val="clear" w:fill="FFFFFF"/>
        </w:rPr>
      </w:pPr>
      <w:r>
        <w:rPr>
          <w:rFonts w:hint="eastAsia" w:ascii="黑体" w:hAnsi="黑体" w:eastAsia="黑体" w:cs="黑体"/>
          <w:b w:val="0"/>
          <w:bCs/>
          <w:i w:val="0"/>
          <w:caps w:val="0"/>
          <w:color w:val="auto"/>
          <w:spacing w:val="0"/>
          <w:sz w:val="32"/>
          <w:szCs w:val="32"/>
          <w:shd w:val="clear" w:fill="FFFFFF"/>
        </w:rPr>
        <w:t>六、其他需要报告的事项</w:t>
      </w:r>
    </w:p>
    <w:p>
      <w:pPr>
        <w:keepNext w:val="0"/>
        <w:keepLines w:val="0"/>
        <w:pageBreakBefore w:val="0"/>
        <w:widowControl/>
        <w:kinsoku/>
        <w:wordWrap/>
        <w:overflowPunct/>
        <w:topLinePunct w:val="0"/>
        <w:autoSpaceDE/>
        <w:autoSpaceDN/>
        <w:bidi w:val="0"/>
        <w:spacing w:line="500" w:lineRule="exact"/>
        <w:ind w:firstLine="640" w:firstLineChars="200"/>
        <w:jc w:val="left"/>
        <w:textAlignment w:val="auto"/>
        <w:rPr>
          <w:rFonts w:hint="eastAsia" w:ascii="仿宋_GB2312" w:eastAsia="仿宋_GB2312"/>
          <w:color w:val="auto"/>
          <w:sz w:val="32"/>
          <w:szCs w:val="32"/>
        </w:rPr>
      </w:pPr>
      <w:r>
        <w:rPr>
          <w:rFonts w:hint="eastAsia" w:ascii="仿宋_GB2312" w:eastAsia="仿宋_GB2312"/>
          <w:color w:val="auto"/>
          <w:sz w:val="32"/>
          <w:szCs w:val="32"/>
        </w:rPr>
        <w:t>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年，没有需要</w:t>
      </w:r>
      <w:r>
        <w:rPr>
          <w:rFonts w:hint="eastAsia" w:ascii="仿宋_GB2312" w:eastAsia="仿宋_GB2312"/>
          <w:color w:val="auto"/>
          <w:sz w:val="32"/>
          <w:szCs w:val="32"/>
          <w:lang w:eastAsia="zh-CN"/>
        </w:rPr>
        <w:t>报告</w:t>
      </w:r>
      <w:r>
        <w:rPr>
          <w:rFonts w:hint="eastAsia" w:ascii="仿宋_GB2312" w:eastAsia="仿宋_GB2312"/>
          <w:color w:val="auto"/>
          <w:sz w:val="32"/>
          <w:szCs w:val="32"/>
        </w:rPr>
        <w:t>的事项。</w:t>
      </w:r>
    </w:p>
    <w:p>
      <w:pPr>
        <w:rPr>
          <w:color w:val="auto"/>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2997F62"/>
    <w:rsid w:val="05DB0F3A"/>
    <w:rsid w:val="14025DB8"/>
    <w:rsid w:val="1A88437B"/>
    <w:rsid w:val="21370844"/>
    <w:rsid w:val="274054A6"/>
    <w:rsid w:val="2A545928"/>
    <w:rsid w:val="425A3E6E"/>
    <w:rsid w:val="50112492"/>
    <w:rsid w:val="58AE58CA"/>
    <w:rsid w:val="677D6583"/>
    <w:rsid w:val="7B485FD6"/>
    <w:rsid w:val="7E5044D0"/>
    <w:rsid w:val="7E5452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2020-01-09T03:04:00Z</dcterms:created>
  <dc:creator>Administrator</dc:creator>
  <cp:lastModifiedBy>宋凡</cp:lastModifiedBy>
  <cp:lastPrinted>2021-01-07T07:23:00Z</cp:lastPrinted>
  <dcterms:modified xsi:type="dcterms:W3CDTF">2021-01-08T07:10:51Z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ies>
</file>