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2F02F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both"/>
        <w:textAlignment w:val="auto"/>
        <w:outlineLvl w:val="9"/>
        <w:rPr>
          <w:rFonts w:hint="eastAsia" w:ascii="Times New Roman" w:hAnsi="Times New Roman" w:eastAsia="宋体" w:cs="宋体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BDB830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right="0"/>
        <w:jc w:val="both"/>
        <w:textAlignment w:val="auto"/>
        <w:outlineLvl w:val="9"/>
        <w:rPr>
          <w:rFonts w:hint="eastAsia" w:ascii="Times New Roman" w:hAnsi="Times New Roman" w:eastAsia="宋体" w:cs="宋体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C40E56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left="0" w:right="0" w:firstLine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威海火炬高技术产业开发区管理委员会</w:t>
      </w:r>
    </w:p>
    <w:p w14:paraId="3200324D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2021年政府信息公开工作年度报告</w:t>
      </w:r>
    </w:p>
    <w:p w14:paraId="3A37B947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left="0" w:right="0" w:firstLine="420"/>
        <w:jc w:val="both"/>
        <w:textAlignment w:val="auto"/>
        <w:outlineLvl w:val="9"/>
        <w:rPr>
          <w:rFonts w:hint="eastAsia" w:ascii="Times New Roman" w:hAnsi="Times New Roman" w:eastAsia="宋体" w:cs="宋体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08F133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根据《中华人民共和国政府信息公开条例》（国务院令第711号，以下简称《条例》）和《中华人民共和国政府信息公开工作年度报告格式》（国办公开办函〔2021〕30号）要求，结合2021年</w:t>
      </w:r>
      <w:r>
        <w:rPr>
          <w:rFonts w:hint="eastAsia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威海火炬高技术产业开发区管理委员会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政府信息公开工作实际，编制发布本报告。</w:t>
      </w:r>
    </w:p>
    <w:p w14:paraId="254F2BFF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报告内容包括：总体情况、主动公开政府信息情况、收到和处理政府信息公开申请情况、政府信息公开行政复议、行政诉讼情况、存在的主要问题及改进情况、其他事项，以及相关指标统计附表等。报告中所列数据统计期限从2021年1月1日到12月31日止。报告电子版可从威海火炬高技术产业开发区管理委员会门户网站（http://www.whctp.gov.cn）下载。公众如需进一步咨询了解相关信息，请与威海火炬高技术产业开发区党政办公室联系（地址：威海市文化西路288号，电子邮箱：whgqzwgk@wh.shandong.cn，邮政编码：264209，办公电话：0631-3919181，传真：0631－5680205）。</w:t>
      </w:r>
    </w:p>
    <w:p w14:paraId="2D2599FA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楷体" w:cs="楷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一、总体情况</w:t>
      </w:r>
    </w:p>
    <w:p w14:paraId="3BF81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（一）主动公开。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一是完善制度建设。制定并印发《威海火炬高技术产业开发区政务公开重点工作及责任分工方案》，制定具体实施计划，加强政务公开队伍建设，进一步提升政务公开工作质量和实效。二是加强公开力度。坚持“</w:t>
      </w:r>
      <w:r>
        <w:rPr>
          <w:rFonts w:hint="eastAsia" w:ascii="Times New Roman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公开为常态、不公开为例外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的原则，扎实做好门户网站、政务新媒体等渠道的信息公开工作。2021年，全区共公开信息10000余条，其中门户网站信息2400余条，微信公众号信息6300余条，政务微博信息1500余条。公开区党工委会议、管委专题会议、部门专题会议78次，其中邀请群众代表列席4次。</w:t>
      </w:r>
      <w:r>
        <w:rPr>
          <w:rFonts w:hint="eastAsia" w:ascii="Times New Roman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三是强化政策解读。主动公开管委及部门政策类文件18件，公开率、解读关联率和保密审查率均达100%。充分运用在线访谈、视频解读、新闻发布会等政策解读形式，凡主动公开的政策性文件均配发解读文件，增强文件可读性。四是广泛开展活动。区管委主要负责人带队赴市12345政务服务热线中心参加线上接听活动，听取市民关于精致城市、民生保障等方面的诉求与建议，在线解答广大市民关心的热点、难点问题。开展“政府开放日”系列活动12次，共邀请社会公众代表476名，征集并采纳群众意见数量13条，不断提高广大群众对政府工作的参与度与满意度，持续推进阳光、透明、开放、服务型</w:t>
      </w:r>
      <w:r>
        <w:rPr>
          <w:rFonts w:hint="eastAsia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政府</w:t>
      </w:r>
      <w:r>
        <w:rPr>
          <w:rFonts w:hint="eastAsia" w:ascii="Times New Roman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建设。</w:t>
      </w:r>
    </w:p>
    <w:p w14:paraId="03374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795020</wp:posOffset>
            </wp:positionH>
            <wp:positionV relativeFrom="paragraph">
              <wp:posOffset>19685</wp:posOffset>
            </wp:positionV>
            <wp:extent cx="4044315" cy="2587625"/>
            <wp:effectExtent l="0" t="0" r="13335" b="3175"/>
            <wp:wrapNone/>
            <wp:docPr id="8" name="图片 8" descr="WechatIMG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WechatIMG18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4315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`</w:t>
      </w:r>
      <w:r>
        <w:rPr>
          <w:rFonts w:hint="eastAsia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ab/>
      </w:r>
    </w:p>
    <w:p w14:paraId="2594B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 w14:paraId="32BE6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 w14:paraId="52979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 w14:paraId="1BB2B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 w14:paraId="4BDF9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 w14:paraId="2DBA9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 w14:paraId="3E458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（区主要负责人带队到市12345政务服务中心直接受理、解决群众诉求）</w:t>
      </w:r>
    </w:p>
    <w:p w14:paraId="0E381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（二）依申请公开。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2021年，高区共收到10件公开申请，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均按时予以答复，未发生因信息公开而导致行政败诉案件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严格遵循“事实清楚、依据充分、程序规范、内容全面、及时高效”的原则，做好依申请公开协助调</w:t>
      </w:r>
      <w:bookmarkStart w:id="10" w:name="_GoBack"/>
      <w:bookmarkEnd w:id="10"/>
      <w:r>
        <w:rPr>
          <w:rFonts w:hint="eastAsia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查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工作，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2021年，共办理依申请公开协助调查2件。</w:t>
      </w:r>
    </w:p>
    <w:p w14:paraId="24588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（三）政府信息管理。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严格按照《山东省政府信息公开保密审查制度（试行）》要求，落实保密审查责任，严禁涉密信息上网公开。严格执行内容发布审核制度，坚持分级分类审核，先审后发，严把政治关、法律关、政策关、文字关，避免出现政务新媒体功能定位不清、信息质量不高、审核把关不严、管理底数不清等问题。加强规范性文件管理，对以区管委名义发布的规范性文件进行了全面清理，发布《关于公布规范性文件清理结果的通知》和现行有效的规范性文件目录清单，</w:t>
      </w:r>
      <w:r>
        <w:rPr>
          <w:rFonts w:hint="eastAsia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将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失效文件及时在管委网站进行标注。</w:t>
      </w:r>
    </w:p>
    <w:p w14:paraId="3763A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1998345</wp:posOffset>
            </wp:positionH>
            <wp:positionV relativeFrom="paragraph">
              <wp:posOffset>730885</wp:posOffset>
            </wp:positionV>
            <wp:extent cx="3918585" cy="2480945"/>
            <wp:effectExtent l="0" t="0" r="18415" b="8255"/>
            <wp:wrapSquare wrapText="bothSides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18585" cy="2480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（四）政府信息公开平台建设。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在政府信息公开专栏上</w:t>
      </w:r>
      <w:r>
        <w:rPr>
          <w:rFonts w:hint="eastAsia" w:ascii="Times New Roman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动态调整主动公开目录，增设疫情防控、优化营商环境等专栏，加大重点领域信息宣传力度，有效保障了群众知情权。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严格按照上级要求加强政务新媒体管理，体制机制改革撤销部门单位的政务新媒体账号已全部注销、关停，保证了政务新媒体的权威性，目前全区现有政务新媒体13个。进一步完善软硬件设施，打造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“区政务中心+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镇级便民中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心+园区服务站”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政务公开专区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方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联动机制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，使群众查阅信息更加便捷。</w:t>
      </w:r>
    </w:p>
    <w:p w14:paraId="21AF0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2913380</wp:posOffset>
            </wp:positionH>
            <wp:positionV relativeFrom="paragraph">
              <wp:posOffset>176530</wp:posOffset>
            </wp:positionV>
            <wp:extent cx="3025775" cy="2268855"/>
            <wp:effectExtent l="0" t="0" r="22225" b="17145"/>
            <wp:wrapNone/>
            <wp:docPr id="10" name="图片 10" descr="WechatIMG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WechatIMG19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5775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-295910</wp:posOffset>
            </wp:positionH>
            <wp:positionV relativeFrom="paragraph">
              <wp:posOffset>190500</wp:posOffset>
            </wp:positionV>
            <wp:extent cx="3068955" cy="2268220"/>
            <wp:effectExtent l="0" t="0" r="4445" b="17780"/>
            <wp:wrapNone/>
            <wp:docPr id="7" name="图片 7" descr="2FEECF3A-2AFD-4DAA-A04F-7099A7B6DF8C-10841-000004F5E889AF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FEECF3A-2AFD-4DAA-A04F-7099A7B6DF8C-10841-000004F5E889AFE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8955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949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</w:p>
    <w:p w14:paraId="6C9CE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</w:p>
    <w:p w14:paraId="0EA79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</w:p>
    <w:p w14:paraId="2B218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</w:p>
    <w:p w14:paraId="5483D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</w:p>
    <w:p w14:paraId="0BD95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eastAsia="仿宋_GB2312" w:cs="仿宋_GB2312"/>
          <w:color w:val="auto"/>
          <w:sz w:val="24"/>
          <w:szCs w:val="24"/>
          <w:lang w:eastAsia="zh-Hans"/>
        </w:rPr>
      </w:pPr>
    </w:p>
    <w:p w14:paraId="07590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eastAsia="仿宋_GB2312" w:cs="仿宋_GB2312"/>
          <w:color w:val="auto"/>
          <w:sz w:val="24"/>
          <w:szCs w:val="24"/>
          <w:lang w:eastAsia="zh-Hans"/>
        </w:rPr>
      </w:pPr>
      <w:r>
        <w:rPr>
          <w:rFonts w:hint="default" w:eastAsia="仿宋_GB2312" w:cs="仿宋_GB2312"/>
          <w:color w:val="auto"/>
          <w:sz w:val="24"/>
          <w:szCs w:val="24"/>
          <w:lang w:eastAsia="zh-Hans"/>
        </w:rPr>
        <w:t>（</w:t>
      </w:r>
      <w:r>
        <w:rPr>
          <w:rFonts w:hint="eastAsia" w:eastAsia="仿宋_GB2312" w:cs="仿宋_GB2312"/>
          <w:color w:val="auto"/>
          <w:sz w:val="24"/>
          <w:szCs w:val="24"/>
          <w:lang w:val="en-US" w:eastAsia="zh-Hans"/>
        </w:rPr>
        <w:t>政务服务中心政府信息公开专区</w:t>
      </w:r>
      <w:r>
        <w:rPr>
          <w:rFonts w:hint="default" w:eastAsia="仿宋_GB2312" w:cs="仿宋_GB2312"/>
          <w:color w:val="auto"/>
          <w:sz w:val="24"/>
          <w:szCs w:val="24"/>
          <w:lang w:eastAsia="zh-Hans"/>
        </w:rPr>
        <w:t>）          （</w:t>
      </w:r>
      <w:r>
        <w:rPr>
          <w:rFonts w:hint="eastAsia" w:eastAsia="仿宋_GB2312" w:cs="仿宋_GB2312"/>
          <w:color w:val="auto"/>
          <w:sz w:val="24"/>
          <w:szCs w:val="24"/>
          <w:lang w:val="en-US" w:eastAsia="zh-Hans"/>
        </w:rPr>
        <w:t>邀请市政府领导为区内部门培训</w:t>
      </w:r>
      <w:r>
        <w:rPr>
          <w:rFonts w:hint="default" w:eastAsia="仿宋_GB2312" w:cs="仿宋_GB2312"/>
          <w:color w:val="auto"/>
          <w:sz w:val="24"/>
          <w:szCs w:val="24"/>
          <w:lang w:eastAsia="zh-Hans"/>
        </w:rPr>
        <w:t>）</w:t>
      </w:r>
    </w:p>
    <w:p w14:paraId="63709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（五）监督保障。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一是做实对政务公开工作培训，组织开展政务公开、政务新媒体专题培训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4次，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有力促进了政务公开工作落实。二是对依申请公开工作进行监督。要求区直各部门、各镇街对收到的依申请公开信件及时报党政办公室备案、审查，确保依申请公开工作有序开展。三是强化督导检查。定期对全区政务新媒体更新维护及信息发布内容进行检查，督促部门对发现的问题及时整改，确保政务新媒体健康活跃、优质高效。</w:t>
      </w:r>
    </w:p>
    <w:p w14:paraId="582153B4">
      <w:pPr>
        <w:ind w:firstLine="640" w:firstLineChars="200"/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二、主动公开政府信息情况</w:t>
      </w:r>
    </w:p>
    <w:tbl>
      <w:tblPr>
        <w:tblStyle w:val="5"/>
        <w:tblpPr w:leftFromText="180" w:rightFromText="180" w:vertAnchor="text" w:horzAnchor="page" w:tblpX="1633" w:tblpY="462"/>
        <w:tblOverlap w:val="never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725DF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828EC33">
            <w:pPr>
              <w:widowControl/>
              <w:jc w:val="center"/>
              <w:rPr>
                <w:rFonts w:ascii="Times New Roman" w:hAnsi="Times New Roman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1"/>
                <w:szCs w:val="21"/>
              </w:rPr>
              <w:t>第二十条第（一）项</w:t>
            </w:r>
          </w:p>
        </w:tc>
      </w:tr>
      <w:tr w14:paraId="3EDEA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7153A7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6E338E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CAD7AC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AA594F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现行有效件数</w:t>
            </w:r>
          </w:p>
        </w:tc>
      </w:tr>
      <w:tr w14:paraId="306E7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ABD2A5">
            <w:pPr>
              <w:widowControl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AF7A7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E3026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B8D3C4">
            <w:pPr>
              <w:widowControl/>
              <w:jc w:val="center"/>
              <w:rPr>
                <w:rFonts w:hint="eastAsia" w:ascii="Times New Roman" w:hAnsi="Times New Roman" w:eastAsia="仿宋_GB2312" w:cs="Calibri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47DC8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13EA2B">
            <w:pPr>
              <w:widowControl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6AAC4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FBD8A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9BC9C7">
            <w:pPr>
              <w:widowControl/>
              <w:jc w:val="center"/>
              <w:rPr>
                <w:rFonts w:hint="default" w:ascii="Times New Roman" w:hAnsi="Times New Roman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 w14:paraId="6906C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76C65B5">
            <w:pPr>
              <w:widowControl/>
              <w:jc w:val="center"/>
              <w:rPr>
                <w:rFonts w:ascii="Times New Roman" w:hAnsi="Times New Roman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1"/>
                <w:szCs w:val="21"/>
              </w:rPr>
              <w:t>第二十条第（五）项</w:t>
            </w:r>
          </w:p>
        </w:tc>
      </w:tr>
      <w:tr w14:paraId="01B95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A9230E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F578A9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本年处理决定数量</w:t>
            </w:r>
          </w:p>
        </w:tc>
      </w:tr>
      <w:tr w14:paraId="1961F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4A4BDC">
            <w:pPr>
              <w:widowControl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936606">
            <w:pPr>
              <w:widowControl/>
              <w:jc w:val="center"/>
              <w:rPr>
                <w:rFonts w:hint="default" w:ascii="Times New Roman" w:hAnsi="Times New Roman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  <w:t>27960</w:t>
            </w:r>
          </w:p>
        </w:tc>
      </w:tr>
      <w:tr w14:paraId="1D26B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256E42D">
            <w:pPr>
              <w:widowControl/>
              <w:jc w:val="center"/>
              <w:rPr>
                <w:rFonts w:ascii="Times New Roman" w:hAnsi="Times New Roman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1"/>
                <w:szCs w:val="21"/>
              </w:rPr>
              <w:t>第二十条第（六）项</w:t>
            </w:r>
          </w:p>
        </w:tc>
      </w:tr>
      <w:tr w14:paraId="54F79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6D26B3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076547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本年处理决定数量</w:t>
            </w:r>
          </w:p>
        </w:tc>
      </w:tr>
      <w:tr w14:paraId="1D7A2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2FB99B">
            <w:pPr>
              <w:widowControl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5D8D0">
            <w:pPr>
              <w:widowControl/>
              <w:jc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795</w:t>
            </w:r>
          </w:p>
        </w:tc>
      </w:tr>
      <w:tr w14:paraId="2C9E0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8FA42B">
            <w:pPr>
              <w:widowControl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4164D6">
            <w:pPr>
              <w:widowControl/>
              <w:jc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0F0D4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43DB824">
            <w:pPr>
              <w:widowControl/>
              <w:jc w:val="center"/>
              <w:rPr>
                <w:rFonts w:ascii="Times New Roman" w:hAnsi="Times New Roman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1"/>
                <w:szCs w:val="21"/>
              </w:rPr>
              <w:t>第二十条第（八）项</w:t>
            </w:r>
          </w:p>
        </w:tc>
      </w:tr>
      <w:tr w14:paraId="73F0F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CC3A33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932567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本年收费金额（单位：万元）</w:t>
            </w:r>
          </w:p>
        </w:tc>
      </w:tr>
      <w:tr w14:paraId="7FA50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C8DBC7">
            <w:pPr>
              <w:widowControl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1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ADE922">
            <w:pPr>
              <w:widowControl/>
              <w:jc w:val="center"/>
              <w:rPr>
                <w:rFonts w:hint="default" w:ascii="Times New Roman" w:hAnsi="Times New Roman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  <w:t>13914.44</w:t>
            </w:r>
          </w:p>
        </w:tc>
      </w:tr>
    </w:tbl>
    <w:p w14:paraId="6696DD52">
      <w:pPr>
        <w:ind w:firstLine="640" w:firstLineChars="200"/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三、收到和处理政府信息公开申请情况</w:t>
      </w:r>
    </w:p>
    <w:tbl>
      <w:tblPr>
        <w:tblStyle w:val="5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 w14:paraId="3657A1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8BC020">
            <w:pPr>
              <w:widowControl/>
              <w:jc w:val="center"/>
              <w:rPr>
                <w:rFonts w:ascii="Times New Roman" w:hAnsi="Times New Roman" w:eastAsia="楷体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1"/>
                <w:szCs w:val="21"/>
              </w:rPr>
              <w:t>（本列数据的勾稽关系为：第一项加第二项之和，</w:t>
            </w:r>
          </w:p>
          <w:p w14:paraId="0E4C19C9">
            <w:pPr>
              <w:widowControl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1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FC554E"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申请人情况</w:t>
            </w:r>
          </w:p>
        </w:tc>
      </w:tr>
      <w:tr w14:paraId="324F50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972C6">
            <w:pPr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75C3D8">
            <w:pPr>
              <w:widowControl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1797D9"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DAD99D">
            <w:pPr>
              <w:widowControl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总计</w:t>
            </w:r>
          </w:p>
        </w:tc>
      </w:tr>
      <w:tr w14:paraId="21C6A2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82E9A3">
            <w:pPr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6F241">
            <w:pPr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46560E">
            <w:pPr>
              <w:widowControl/>
              <w:spacing w:line="320" w:lineRule="exact"/>
              <w:ind w:left="-162" w:leftChars="-51" w:right="-163" w:rightChars="-51" w:hanging="1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E50A1">
            <w:pPr>
              <w:widowControl/>
              <w:spacing w:line="320" w:lineRule="exact"/>
              <w:ind w:left="-163" w:leftChars="-51" w:right="-163" w:rightChars="-51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A14C7">
            <w:pPr>
              <w:widowControl/>
              <w:spacing w:line="320" w:lineRule="exact"/>
              <w:ind w:left="-163" w:leftChars="-51" w:right="-163" w:rightChars="-51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DD2CB6">
            <w:pPr>
              <w:widowControl/>
              <w:spacing w:line="320" w:lineRule="exact"/>
              <w:ind w:left="-162" w:leftChars="-51" w:right="-163" w:rightChars="-51" w:hanging="1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CE72CD">
            <w:pPr>
              <w:widowControl/>
              <w:spacing w:line="360" w:lineRule="exact"/>
              <w:ind w:left="-96" w:leftChars="-30" w:right="-205" w:rightChars="-64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622BF6">
            <w:pPr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88063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B6819">
            <w:pPr>
              <w:widowControl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一、</w:t>
            </w:r>
            <w:bookmarkStart w:id="0" w:name="_Hlk66973412"/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0BABF0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953651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DD3850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1E85DA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6A7763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5EE321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8EEB4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10</w:t>
            </w:r>
          </w:p>
        </w:tc>
      </w:tr>
      <w:tr w14:paraId="24D5B0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DF6310">
            <w:pPr>
              <w:widowControl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6B1DE3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E92F8E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10C5EB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84F8FB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3140F5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CC3632">
            <w:pPr>
              <w:widowControl/>
              <w:spacing w:after="180"/>
              <w:jc w:val="both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B4C917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09906E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73097">
            <w:pPr>
              <w:widowControl/>
              <w:spacing w:after="180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77B259">
            <w:pPr>
              <w:widowControl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1CABC7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023FDF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8B340D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4DA3A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E50297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593915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3D0EFD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568B1D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B03A84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58EFB3">
            <w:pPr>
              <w:widowControl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26C950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439D2E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9AB4A3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80CEC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AFA916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D2A1FB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26412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7B717A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328A3D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52FA12">
            <w:pPr>
              <w:widowControl/>
              <w:spacing w:line="200" w:lineRule="exact"/>
              <w:ind w:left="-163" w:leftChars="-51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E4311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9BD038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98CDF8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499DCE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996346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F47DBC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DFEDBF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1A0982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69FCE7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9913F6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DE55C"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54ADA3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2.</w:t>
            </w:r>
            <w:bookmarkStart w:id="2" w:name="_Hlk66974104"/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0A8CDB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7F0A9C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36270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9D5FC7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390C6A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9AF03A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56804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78349B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D17D5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24CA4"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3C8FF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E1B2AC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62FF65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16409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B6190C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6C7ECC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98520C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1A1AED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B9239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EB11A9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5BA11"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125FF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4.</w:t>
            </w:r>
            <w:bookmarkStart w:id="3" w:name="_Hlk66974290"/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D9EF6A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FBF0ED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2934F0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D8C348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BC2582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9773C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CA5DD0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389C85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EEBEAC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191B1F"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70BA68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10101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D53DA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8C774D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392080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2EB42F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3B874F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C39A32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522B83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780869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B6A475"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0094B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6.</w:t>
            </w:r>
            <w:bookmarkStart w:id="4" w:name="_Hlk66974555"/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BF81F1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5B96B8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40EC9B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C6D72F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4122E2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B476CA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1B2D64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</w:t>
            </w:r>
          </w:p>
        </w:tc>
      </w:tr>
      <w:tr w14:paraId="0DC75F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DE3071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0548BB"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46672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AEA87A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FB6C26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161E09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4D1E9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71D35C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92C245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2F824A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53E00F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177A91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31AEA9"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8E994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8.</w:t>
            </w:r>
            <w:bookmarkStart w:id="5" w:name="_Hlk66975211"/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07CB3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3142DA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801CE5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9B8B3B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F54FC5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AAF43A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427F0E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610AF1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3F4EBF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A56664">
            <w:pPr>
              <w:widowControl/>
              <w:spacing w:line="200" w:lineRule="exact"/>
              <w:ind w:left="-163" w:leftChars="-51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54CFFF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CBF490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49B4AE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A31CA3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5C6A4A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0AADA5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A4DA1E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38AB06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</w:t>
            </w:r>
          </w:p>
        </w:tc>
      </w:tr>
      <w:tr w14:paraId="07897F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20E21B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949E5">
            <w:pPr>
              <w:spacing w:line="200" w:lineRule="exact"/>
              <w:ind w:left="-163" w:leftChars="-51"/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70317C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2.</w:t>
            </w:r>
            <w:bookmarkStart w:id="6" w:name="_Hlk66975392"/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ED2923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0A759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59BBEA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9B2515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4EC237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A603B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378D75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791A0A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7089AF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2747A2">
            <w:pPr>
              <w:spacing w:line="200" w:lineRule="exact"/>
              <w:ind w:left="-163" w:leftChars="-51"/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A94D2A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3.</w:t>
            </w:r>
            <w:bookmarkStart w:id="7" w:name="_Hlk66975466"/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B7299C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07D62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557F6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6A9F8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ED6E12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1AF6B6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787E9B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4DF528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78D0E7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56022">
            <w:pPr>
              <w:widowControl/>
              <w:spacing w:line="200" w:lineRule="exact"/>
              <w:ind w:left="-163" w:leftChars="-51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D0EF3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1.</w:t>
            </w:r>
            <w:bookmarkStart w:id="8" w:name="_Hlk66975537"/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826E3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F6C10E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F8DC7C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07C461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50EB60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510355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7E9ABD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14ED1B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D46B8E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F956CE"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FFF5E4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E31FCE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9B768E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A57B5F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E83CE6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B9F619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3BA6CD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83B753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A22CD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80A3CE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1C6D2C"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C4CBD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4681D1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9876BF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22238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6E6956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17AEF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46BD12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8D45C1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5B070D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1E7092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C4A18"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CDE08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508F0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837C7A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CF1FE0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47616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E21D50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17FF99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AFB9E6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542C52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B082D9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5A33CB">
            <w:pPr>
              <w:spacing w:line="200" w:lineRule="exact"/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61487A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5.要求行政机关确认或重新</w:t>
            </w:r>
          </w:p>
          <w:p w14:paraId="3905B12B">
            <w:pPr>
              <w:widowControl/>
              <w:spacing w:line="300" w:lineRule="exact"/>
              <w:ind w:firstLine="210" w:firstLineChars="100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063DE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F2582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29F3D3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EE8560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5BA91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DA85CC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F885E5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50DD39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B12928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EC4259">
            <w:pPr>
              <w:widowControl/>
              <w:spacing w:line="300" w:lineRule="exact"/>
              <w:rPr>
                <w:rFonts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9F03A17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sz w:val="21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2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A3714D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DC264D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4648A6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F6C2F9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D08C3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E0924D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54EFE9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508B6A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0D4CBB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F730ED">
            <w:pPr>
              <w:widowControl/>
              <w:spacing w:line="300" w:lineRule="exact"/>
              <w:rPr>
                <w:rFonts w:ascii="Times New Roman" w:hAnsi="Times New Roman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53DD6DF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2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143723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A068AF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4C051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827851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BD348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5CB7E8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0D3A72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0F869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006E66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5B0EC1">
            <w:pPr>
              <w:widowControl/>
              <w:spacing w:line="300" w:lineRule="exact"/>
              <w:rPr>
                <w:rFonts w:ascii="Times New Roman" w:hAnsi="Times New Roman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4F3B48B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2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F93A13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2CB0A9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5B92F0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CEDBF1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C09A64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B9819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55B8E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06372C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1449F">
            <w:pPr>
              <w:rPr>
                <w:rFonts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AE59C0">
            <w:pPr>
              <w:widowControl/>
              <w:spacing w:line="300" w:lineRule="exact"/>
              <w:rPr>
                <w:rFonts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720479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003920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620A57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674F20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657D82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47691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13C5E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10</w:t>
            </w:r>
          </w:p>
        </w:tc>
      </w:tr>
      <w:tr w14:paraId="65F549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D6FEC">
            <w:pPr>
              <w:widowControl/>
              <w:spacing w:line="300" w:lineRule="exact"/>
              <w:rPr>
                <w:rFonts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3E7F65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3967F6">
            <w:pPr>
              <w:widowControl/>
              <w:spacing w:after="180" w:line="20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222F1E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A9B1B7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3E16E7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17D8F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FE609">
            <w:pPr>
              <w:widowControl/>
              <w:spacing w:after="180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77DD7C87">
      <w:pPr>
        <w:ind w:firstLine="640" w:firstLineChars="200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325F0A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F4E43B">
            <w:pPr>
              <w:widowControl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F698DD">
            <w:pPr>
              <w:widowControl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09A7F8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DC2156">
            <w:pPr>
              <w:widowControl/>
              <w:ind w:left="-227" w:leftChars="-71" w:right="-259" w:rightChars="-81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10AE4BDF">
            <w:pPr>
              <w:widowControl/>
              <w:ind w:left="-227" w:leftChars="-71" w:right="-259" w:rightChars="-81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35EA1D">
            <w:pPr>
              <w:widowControl/>
              <w:ind w:left="-66" w:leftChars="-21" w:right="-202" w:rightChars="-63" w:hanging="1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C790F">
            <w:pPr>
              <w:widowControl/>
              <w:ind w:left="-125" w:leftChars="-39" w:right="-147" w:rightChars="-46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DBC5DF">
            <w:pPr>
              <w:widowControl/>
              <w:ind w:left="-179" w:leftChars="-56" w:right="-179" w:rightChars="-56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02E4124C">
            <w:pPr>
              <w:widowControl/>
              <w:ind w:left="-179" w:leftChars="-56" w:right="-179" w:rightChars="-56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3734CA"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 w14:paraId="27A2CC4E"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6F7B15">
            <w:pPr>
              <w:widowControl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0426DF">
            <w:pPr>
              <w:widowControl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bookmarkStart w:id="9" w:name="_Hlk67039688"/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34FB5A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67FD30">
            <w:pPr>
              <w:rPr>
                <w:rFonts w:ascii="Times New Roman" w:hAnsi="Times New Roman" w:eastAsia="黑体" w:cs="Times New Roman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98405">
            <w:pPr>
              <w:rPr>
                <w:rFonts w:ascii="Times New Roman" w:hAnsi="Times New Roman" w:eastAsia="黑体" w:cs="Times New Roman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624298">
            <w:pPr>
              <w:rPr>
                <w:rFonts w:ascii="Times New Roman" w:hAnsi="Times New Roman" w:eastAsia="黑体" w:cs="Times New Roman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A88580">
            <w:pPr>
              <w:rPr>
                <w:rFonts w:ascii="Times New Roman" w:hAnsi="Times New Roman" w:eastAsia="黑体" w:cs="Times New Roman"/>
                <w:sz w:val="24"/>
                <w:szCs w:val="22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B256B2">
            <w:pPr>
              <w:rPr>
                <w:rFonts w:ascii="Times New Roman" w:hAnsi="Times New Roman" w:eastAsia="黑体" w:cs="Times New Roman"/>
                <w:sz w:val="24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02E2BD">
            <w:pPr>
              <w:widowControl/>
              <w:ind w:left="-160" w:leftChars="-50" w:right="-192" w:rightChars="-60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9E7D90">
            <w:pPr>
              <w:widowControl/>
              <w:ind w:left="-131" w:leftChars="-41" w:right="-134" w:rightChars="-42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13EEF9">
            <w:pPr>
              <w:widowControl/>
              <w:ind w:left="-192" w:leftChars="-60" w:right="-208" w:rightChars="-65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0F081D4F">
            <w:pPr>
              <w:widowControl/>
              <w:ind w:left="-192" w:leftChars="-60" w:right="-208" w:rightChars="-65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D05B98">
            <w:pPr>
              <w:widowControl/>
              <w:ind w:left="-250" w:leftChars="-78" w:right="-234" w:rightChars="-73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706F8DE2">
            <w:pPr>
              <w:widowControl/>
              <w:ind w:left="-250" w:leftChars="-78" w:right="-234" w:rightChars="-73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103032">
            <w:pPr>
              <w:widowControl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212324">
            <w:pPr>
              <w:widowControl/>
              <w:ind w:left="-150" w:leftChars="-47" w:right="-118" w:rightChars="-37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C8F289">
            <w:pPr>
              <w:widowControl/>
              <w:ind w:left="-208" w:leftChars="-65" w:right="-189" w:rightChars="-59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10C05FFB">
            <w:pPr>
              <w:widowControl/>
              <w:ind w:left="-208" w:leftChars="-65" w:right="-189" w:rightChars="-59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A9253A">
            <w:pPr>
              <w:widowControl/>
              <w:ind w:left="-265" w:leftChars="-83" w:right="-205" w:rightChars="-64" w:hanging="1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38468055">
            <w:pPr>
              <w:widowControl/>
              <w:ind w:left="-265" w:leftChars="-83" w:right="-205" w:rightChars="-64" w:hanging="1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395CDE">
            <w:pPr>
              <w:widowControl/>
              <w:ind w:left="-104" w:leftChars="-33" w:right="-160" w:rightChars="-50" w:hanging="2" w:hangingChars="1"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41D58">
            <w:pPr>
              <w:widowControl/>
              <w:jc w:val="center"/>
              <w:rPr>
                <w:rFonts w:ascii="Times New Roman" w:hAnsi="Times New Roman" w:eastAsia="黑体" w:cs="Times New Roman"/>
                <w:sz w:val="21"/>
                <w:szCs w:val="22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18136F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C8A52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35B70D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FD4FCD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E449DE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80EE6A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1D9C7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6CBF56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1E6D14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BF83E6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FFE367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F14FA0">
            <w:pPr>
              <w:widowControl/>
              <w:spacing w:after="180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68DD62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DB6E11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745FA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20697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0</w:t>
            </w:r>
          </w:p>
        </w:tc>
      </w:tr>
    </w:tbl>
    <w:p w14:paraId="1CDA13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" w:eastAsia="zh-CN"/>
        </w:rPr>
        <w:t>五、存在的主要问题及改进情况</w:t>
      </w:r>
    </w:p>
    <w:p w14:paraId="3CD305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（一）主要问题</w:t>
      </w:r>
    </w:p>
    <w:p w14:paraId="4E85EF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2021年，高区政府信息公开工作虽取得了一定进展，但整体水平与公众期望相比仍有一定差距</w:t>
      </w:r>
      <w:r>
        <w:rPr>
          <w:rFonts w:hint="eastAsia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仍存在门户网站栏目优化程度不够、政策解读</w:t>
      </w:r>
      <w:r>
        <w:rPr>
          <w:rFonts w:hint="eastAsia" w:eastAsia="仿宋_GB2312" w:cs="仿宋_GB2312"/>
          <w:color w:val="auto"/>
          <w:sz w:val="32"/>
          <w:szCs w:val="32"/>
          <w:lang w:val="en-US" w:eastAsia="zh-CN"/>
        </w:rPr>
        <w:t>形式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较为单一、政务新媒体信息质量不高等相关问题。</w:t>
      </w:r>
    </w:p>
    <w:p w14:paraId="67A04A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（二）改进措施</w:t>
      </w:r>
    </w:p>
    <w:p w14:paraId="614CEB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一是优化板块设置，强化政策解读。推进门户网站改版升级，动态调整主动公开目录，不断加大重点领域信息宣传力度。认真落实政策与解读同步组织、同步审签、同步部署“三同步”要求，采用图文、视频、问答、动漫等公众喜闻乐见的呈现方式，提高政策解读质量。</w:t>
      </w:r>
    </w:p>
    <w:p w14:paraId="676DB5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二是加大政务新媒体开设与日常监管力度。严格落实政务新媒体开设备案制度，规范开设流程。加强政务新媒体内容建设，加强信息发布审核、创新信息发布形式、严格互动交流回应，</w:t>
      </w:r>
      <w:r>
        <w:rPr>
          <w:rFonts w:hint="eastAsia" w:eastAsia="仿宋_GB2312" w:cs="仿宋_GB2312"/>
          <w:color w:val="auto"/>
          <w:sz w:val="32"/>
          <w:szCs w:val="32"/>
          <w:lang w:val="en-US" w:eastAsia="zh-CN"/>
        </w:rPr>
        <w:t>积极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传播党和政府声音。</w:t>
      </w:r>
    </w:p>
    <w:p w14:paraId="28A141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三是加强信息公开培训学习。组织区内部门、单位加强对《中华人民共和国政府信息公开条例》及基层政务公开、依申请公开、政务新媒体相关文件的学习，不断提高政府信息公开工作能力。</w:t>
      </w:r>
    </w:p>
    <w:p w14:paraId="77BA0A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六、其他需要报告的事项</w:t>
      </w:r>
    </w:p>
    <w:p w14:paraId="12907D2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right="0" w:firstLine="640" w:firstLineChars="200"/>
        <w:jc w:val="both"/>
        <w:textAlignment w:val="auto"/>
        <w:rPr>
          <w:rFonts w:hint="default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eastAsia="仿宋_GB2312" w:cs="仿宋_GB2312"/>
          <w:color w:val="auto"/>
          <w:sz w:val="32"/>
          <w:szCs w:val="32"/>
          <w:lang w:val="en-US" w:eastAsia="zh-CN"/>
        </w:rPr>
        <w:t>2021年，高区无收取政府信息公开处理费相关情况；</w:t>
      </w:r>
    </w:p>
    <w:p w14:paraId="2185878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right="0" w:firstLine="640" w:firstLineChars="200"/>
        <w:jc w:val="both"/>
        <w:textAlignment w:val="auto"/>
        <w:rPr>
          <w:rFonts w:hint="eastAsia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2021年，高区共承办市人大代表建议1件、政协委员提案4件，所有提案均已面复。对可以公开的建议和提案办理复文，均及时在管委门户网站进行公开</w:t>
      </w:r>
      <w:r>
        <w:rPr>
          <w:rFonts w:hint="eastAsia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339D04A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政务新媒体威海“高新区发布”荣获“国家高新区微信公众号综合影响力领先奖”，高新区政务微博的粉丝数在同类政务微博中数量全市第一，全方位高频率的宣传对提升区域影响力、构建威海高新区品牌形象提供了强大支持。</w:t>
      </w:r>
    </w:p>
    <w:p w14:paraId="4809705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2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.落实上级政务公开工作要点情况。落实上级认真落实上级关于全面推进政务公开工作的决策部署，制定下发《威海火炬高技术产业开发区2021年政务公开重点工作责任分工方案》，对全区政务公开工作任务进行细化分解，明确政务公开重点领域、重点环节的责任分工，进一步将责任压实到部门、分解到单位、落实到个人。</w:t>
      </w:r>
    </w:p>
    <w:p w14:paraId="34DE20D5">
      <w:pPr>
        <w:ind w:firstLine="640" w:firstLineChars="200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474" w:bottom="113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D1EC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9EDC07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9EDC07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E58CA"/>
    <w:rsid w:val="03EFBA11"/>
    <w:rsid w:val="09C873F6"/>
    <w:rsid w:val="0FE2420B"/>
    <w:rsid w:val="10796548"/>
    <w:rsid w:val="10DE16CE"/>
    <w:rsid w:val="1642699C"/>
    <w:rsid w:val="1A241390"/>
    <w:rsid w:val="1D3E0C97"/>
    <w:rsid w:val="2DC450A2"/>
    <w:rsid w:val="2DD9477C"/>
    <w:rsid w:val="3CF532EA"/>
    <w:rsid w:val="58AE58CA"/>
    <w:rsid w:val="5AEC4016"/>
    <w:rsid w:val="5BA15D8D"/>
    <w:rsid w:val="5D3107F8"/>
    <w:rsid w:val="5FEB3659"/>
    <w:rsid w:val="63E30B7B"/>
    <w:rsid w:val="66FF504C"/>
    <w:rsid w:val="671A1327"/>
    <w:rsid w:val="6A374D04"/>
    <w:rsid w:val="6F5FABBE"/>
    <w:rsid w:val="7263671B"/>
    <w:rsid w:val="738C17CA"/>
    <w:rsid w:val="767C1FFA"/>
    <w:rsid w:val="78D95F14"/>
    <w:rsid w:val="79BD6937"/>
    <w:rsid w:val="7BABF195"/>
    <w:rsid w:val="7D7D78DB"/>
    <w:rsid w:val="7E5044D0"/>
    <w:rsid w:val="7E54528C"/>
    <w:rsid w:val="7F9369DF"/>
    <w:rsid w:val="7FB44E4D"/>
    <w:rsid w:val="7FD3BB0D"/>
    <w:rsid w:val="8B936500"/>
    <w:rsid w:val="97EE0FEB"/>
    <w:rsid w:val="9876FB8A"/>
    <w:rsid w:val="DFFCC20D"/>
    <w:rsid w:val="EFBF86A2"/>
    <w:rsid w:val="FEFFC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3320</Words>
  <Characters>3504</Characters>
  <Lines>0</Lines>
  <Paragraphs>0</Paragraphs>
  <TotalTime>7</TotalTime>
  <ScaleCrop>false</ScaleCrop>
  <LinksUpToDate>false</LinksUpToDate>
  <CharactersWithSpaces>3515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2020-01-13T03:04:00Z</dcterms:created>
  <dc:creator>Administrator</dc:creator>
  <cp:lastModifiedBy>╰懂的人。</cp:lastModifiedBy>
  <cp:lastPrinted>2022-02-18T00:38:00Z</cp:lastPrinted>
  <dcterms:modified xsi:type="dcterms:W3CDTF">2025-09-17T06:12:11Z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eyJoZGlkIjoiYmVlOGVkMzlhNmVjZGRkNzZkNzM0NmVmYWUzYzJkMTMiLCJ1c2VySWQiOiI0NjE4OTkwMjQifQ==</vt:lpwstr>
  </property>
  <property fmtid="{D5CDD505-2E9C-101B-9397-08002B2CF9AE}" pid="4" name="ICV">
    <vt:lpwstr>5CE6DC63A12744869DB087943FB536E3_12</vt:lpwstr>
  </property>
</Properties>
</file>