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spacing w:line="600" w:lineRule="exact"/>
        <w:rPr>
          <w:rFonts w:ascii="Times New Roman" w:hAnsi="Times New Roman" w:eastAsia="黑体"/>
          <w:sz w:val="32"/>
        </w:rPr>
      </w:pPr>
    </w:p>
    <w:p>
      <w:pPr>
        <w:spacing w:line="600" w:lineRule="exact"/>
        <w:rPr>
          <w:rFonts w:ascii="Times New Roman" w:hAnsi="Times New Roman" w:eastAsia="仿宋_GB2312"/>
          <w:sz w:val="32"/>
        </w:rPr>
      </w:pPr>
    </w:p>
    <w:p>
      <w:pPr>
        <w:tabs>
          <w:tab w:val="center" w:pos="4507"/>
        </w:tabs>
        <w:spacing w:line="578" w:lineRule="exact"/>
        <w:jc w:val="left"/>
        <w:rPr>
          <w:rFonts w:ascii="Times New Roman" w:hAnsi="Times New Roman"/>
          <w:sz w:val="44"/>
        </w:rPr>
      </w:pP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hAnsi="Times New Roman" w:eastAsia="方正小标宋简体"/>
          <w:color w:val="auto"/>
          <w:sz w:val="44"/>
          <w:szCs w:val="44"/>
        </w:rPr>
      </w:pPr>
      <w:r>
        <w:rPr>
          <w:rFonts w:hint="eastAsia" w:ascii="Times New Roman" w:hAnsi="Times New Roman" w:eastAsia="方正小标宋简体"/>
          <w:color w:val="auto"/>
          <w:sz w:val="44"/>
          <w:szCs w:val="44"/>
        </w:rPr>
        <w:t>威海火炬高技术产业开发区</w:t>
      </w:r>
      <w:r>
        <w:rPr>
          <w:rFonts w:hint="eastAsia" w:eastAsia="方正小标宋简体"/>
          <w:color w:val="auto"/>
          <w:sz w:val="44"/>
          <w:szCs w:val="44"/>
          <w:lang w:eastAsia="zh-CN"/>
        </w:rPr>
        <w:t>党政</w:t>
      </w:r>
      <w:r>
        <w:rPr>
          <w:rFonts w:hint="eastAsia" w:ascii="Times New Roman" w:hAnsi="Times New Roman" w:eastAsia="方正小标宋简体"/>
          <w:color w:val="auto"/>
          <w:sz w:val="44"/>
          <w:szCs w:val="44"/>
        </w:rPr>
        <w:t>办公室</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jc w:val="center"/>
        <w:textAlignment w:val="auto"/>
        <w:rPr>
          <w:rStyle w:val="7"/>
          <w:rFonts w:hint="eastAsia" w:ascii="方正小标宋简体" w:hAnsi="方正小标宋简体" w:eastAsia="方正小标宋简体" w:cs="方正小标宋简体"/>
          <w:b w:val="0"/>
          <w:color w:val="auto"/>
          <w:sz w:val="44"/>
          <w:szCs w:val="44"/>
          <w:lang w:eastAsia="zh-CN"/>
        </w:rPr>
      </w:pPr>
      <w:r>
        <w:rPr>
          <w:rStyle w:val="7"/>
          <w:rFonts w:hint="eastAsia" w:ascii="方正小标宋简体" w:hAnsi="方正小标宋简体" w:eastAsia="方正小标宋简体" w:cs="方正小标宋简体"/>
          <w:b w:val="0"/>
          <w:color w:val="auto"/>
          <w:sz w:val="44"/>
          <w:szCs w:val="44"/>
        </w:rPr>
        <w:t>关于加快推进</w:t>
      </w:r>
      <w:r>
        <w:rPr>
          <w:rStyle w:val="7"/>
          <w:rFonts w:hint="eastAsia" w:ascii="方正小标宋简体" w:hAnsi="方正小标宋简体" w:eastAsia="方正小标宋简体" w:cs="方正小标宋简体"/>
          <w:b w:val="0"/>
          <w:color w:val="auto"/>
          <w:sz w:val="44"/>
          <w:szCs w:val="44"/>
          <w:lang w:eastAsia="zh-CN"/>
        </w:rPr>
        <w:t>威海火炬高技术产业开发区</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jc w:val="center"/>
        <w:textAlignment w:val="auto"/>
        <w:rPr>
          <w:rFonts w:hint="eastAsia" w:ascii="方正小标宋简体" w:hAnsi="方正小标宋简体" w:eastAsia="方正小标宋简体" w:cs="方正小标宋简体"/>
          <w:b/>
          <w:color w:val="auto"/>
          <w:sz w:val="44"/>
          <w:szCs w:val="44"/>
        </w:rPr>
      </w:pPr>
      <w:r>
        <w:rPr>
          <w:rStyle w:val="7"/>
          <w:rFonts w:hint="eastAsia" w:ascii="方正小标宋简体" w:hAnsi="方正小标宋简体" w:eastAsia="方正小标宋简体" w:cs="方正小标宋简体"/>
          <w:b w:val="0"/>
          <w:color w:val="auto"/>
          <w:sz w:val="44"/>
          <w:szCs w:val="44"/>
        </w:rPr>
        <w:t>预制菜产业高质量发展的</w:t>
      </w:r>
      <w:r>
        <w:rPr>
          <w:rStyle w:val="7"/>
          <w:rFonts w:hint="eastAsia" w:ascii="方正小标宋简体" w:hAnsi="方正小标宋简体" w:eastAsia="方正小标宋简体" w:cs="方正小标宋简体"/>
          <w:b w:val="0"/>
          <w:color w:val="auto"/>
          <w:sz w:val="44"/>
          <w:szCs w:val="44"/>
          <w:lang w:eastAsia="zh-CN"/>
        </w:rPr>
        <w:t>实施</w:t>
      </w:r>
      <w:r>
        <w:rPr>
          <w:rStyle w:val="7"/>
          <w:rFonts w:hint="eastAsia" w:ascii="方正小标宋简体" w:hAnsi="方正小标宋简体" w:eastAsia="方正小标宋简体" w:cs="方正小标宋简体"/>
          <w:b w:val="0"/>
          <w:color w:val="auto"/>
          <w:sz w:val="44"/>
          <w:szCs w:val="44"/>
        </w:rPr>
        <w:t>意见</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textAlignment w:val="auto"/>
        <w:rPr>
          <w:rFonts w:ascii="仿宋_GB2312" w:hAnsi="Segoe UI" w:eastAsia="仿宋_GB2312" w:cs="Segoe UI"/>
          <w:color w:val="auto"/>
          <w:sz w:val="32"/>
          <w:szCs w:val="32"/>
        </w:rPr>
      </w:pP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textAlignment w:val="auto"/>
        <w:rPr>
          <w:rFonts w:ascii="Times New Roman" w:hAnsi="Times New Roman" w:eastAsia="仿宋_GB2312" w:cs="Segoe UI"/>
          <w:color w:val="auto"/>
          <w:sz w:val="32"/>
          <w:szCs w:val="32"/>
        </w:rPr>
      </w:pPr>
      <w:r>
        <w:rPr>
          <w:rFonts w:hint="eastAsia" w:ascii="Times New Roman" w:hAnsi="Times New Roman" w:eastAsia="仿宋_GB2312" w:cs="仿宋_GB2312"/>
          <w:color w:val="auto"/>
          <w:spacing w:val="0"/>
          <w:sz w:val="32"/>
          <w:szCs w:val="32"/>
          <w:lang w:eastAsia="zh-CN"/>
        </w:rPr>
        <w:t>区直各部门，各镇、街道，中央、省、市属驻区单位：</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ascii="Times New Roman" w:hAnsi="Times New Roman" w:eastAsia="仿宋_GB2312" w:cs="Segoe UI"/>
          <w:color w:val="auto"/>
          <w:sz w:val="32"/>
          <w:szCs w:val="32"/>
        </w:rPr>
        <w:t>预制菜是以农作物、畜禽、水产品等为原料，配以各种辅料，采用现代化标准集中生产，经预加工的成品或者半成品，包括即食、即热、即烹、即配等食品。近年来，已成为延长农业产业链条、提高农产品加工增值水平、促进农民增收致富的新兴产业。为</w:t>
      </w:r>
      <w:r>
        <w:rPr>
          <w:rFonts w:hint="eastAsia" w:ascii="Times New Roman" w:hAnsi="Times New Roman" w:eastAsia="仿宋_GB2312" w:cs="Segoe UI"/>
          <w:color w:val="auto"/>
          <w:sz w:val="32"/>
          <w:szCs w:val="32"/>
        </w:rPr>
        <w:t>贯彻落实《</w:t>
      </w:r>
      <w:r>
        <w:rPr>
          <w:rFonts w:ascii="Times New Roman" w:hAnsi="Times New Roman" w:eastAsia="仿宋_GB2312"/>
          <w:bCs/>
          <w:color w:val="auto"/>
          <w:sz w:val="32"/>
          <w:szCs w:val="32"/>
        </w:rPr>
        <w:t>山东省人民政府办公厅关于推进全省预制菜产业高质量发展的意见</w:t>
      </w:r>
      <w:r>
        <w:rPr>
          <w:rFonts w:hint="eastAsia" w:ascii="Times New Roman" w:hAnsi="Times New Roman" w:eastAsia="仿宋_GB2312" w:cs="Segoe UI"/>
          <w:color w:val="auto"/>
          <w:sz w:val="32"/>
          <w:szCs w:val="32"/>
        </w:rPr>
        <w:t>》（</w:t>
      </w:r>
      <w:r>
        <w:rPr>
          <w:rFonts w:ascii="Times New Roman" w:hAnsi="Times New Roman" w:eastAsia="仿宋_GB2312" w:cs="Segoe UI"/>
          <w:color w:val="auto"/>
          <w:sz w:val="32"/>
          <w:szCs w:val="32"/>
        </w:rPr>
        <w:t>鲁政办字〔2022〕138号</w:t>
      </w:r>
      <w:r>
        <w:rPr>
          <w:rFonts w:hint="eastAsia" w:ascii="Times New Roman" w:hAnsi="Times New Roman" w:eastAsia="仿宋_GB2312" w:cs="Segoe UI"/>
          <w:color w:val="auto"/>
          <w:sz w:val="32"/>
          <w:szCs w:val="32"/>
        </w:rPr>
        <w:t>）和《威海市人民政府办公室关于加快推进威海预制菜产业高质量发展的实施意见》（威政办字〔</w:t>
      </w:r>
      <w:r>
        <w:rPr>
          <w:rFonts w:ascii="Times New Roman" w:hAnsi="Times New Roman" w:eastAsia="仿宋_GB2312" w:cs="Segoe UI"/>
          <w:color w:val="auto"/>
          <w:sz w:val="32"/>
          <w:szCs w:val="32"/>
        </w:rPr>
        <w:t>2022</w:t>
      </w:r>
      <w:r>
        <w:rPr>
          <w:rFonts w:hint="eastAsia" w:ascii="Times New Roman" w:hAnsi="Times New Roman" w:eastAsia="仿宋_GB2312" w:cs="Segoe UI"/>
          <w:color w:val="auto"/>
          <w:sz w:val="32"/>
          <w:szCs w:val="32"/>
        </w:rPr>
        <w:t>〕</w:t>
      </w:r>
      <w:r>
        <w:rPr>
          <w:rFonts w:ascii="Times New Roman" w:hAnsi="Times New Roman" w:eastAsia="仿宋_GB2312" w:cs="Segoe UI"/>
          <w:color w:val="auto"/>
          <w:sz w:val="32"/>
          <w:szCs w:val="32"/>
        </w:rPr>
        <w:t>41</w:t>
      </w:r>
      <w:r>
        <w:rPr>
          <w:rFonts w:hint="eastAsia" w:ascii="Times New Roman" w:hAnsi="Times New Roman" w:eastAsia="仿宋_GB2312" w:cs="Segoe UI"/>
          <w:color w:val="auto"/>
          <w:sz w:val="32"/>
          <w:szCs w:val="32"/>
        </w:rPr>
        <w:t>号）文件精神，</w:t>
      </w:r>
      <w:r>
        <w:rPr>
          <w:rFonts w:ascii="Times New Roman" w:hAnsi="Times New Roman" w:eastAsia="仿宋_GB2312" w:cs="Segoe UI"/>
          <w:color w:val="auto"/>
          <w:sz w:val="32"/>
          <w:szCs w:val="32"/>
        </w:rPr>
        <w:t>树立大食物观，推动引导</w:t>
      </w:r>
      <w:r>
        <w:rPr>
          <w:rFonts w:hint="eastAsia" w:ascii="Times New Roman" w:hAnsi="Times New Roman" w:eastAsia="仿宋_GB2312" w:cs="Segoe UI"/>
          <w:color w:val="auto"/>
          <w:sz w:val="32"/>
          <w:szCs w:val="32"/>
        </w:rPr>
        <w:t>高区</w:t>
      </w:r>
      <w:r>
        <w:rPr>
          <w:rFonts w:ascii="Times New Roman" w:hAnsi="Times New Roman" w:eastAsia="仿宋_GB2312" w:cs="Segoe UI"/>
          <w:color w:val="auto"/>
          <w:sz w:val="32"/>
          <w:szCs w:val="32"/>
        </w:rPr>
        <w:t>预制菜产业健康有序、高质量发展，</w:t>
      </w:r>
      <w:r>
        <w:rPr>
          <w:rFonts w:hint="eastAsia" w:ascii="Times New Roman" w:hAnsi="Times New Roman" w:eastAsia="仿宋_GB2312" w:cs="Segoe UI"/>
          <w:color w:val="auto"/>
          <w:sz w:val="32"/>
          <w:szCs w:val="32"/>
        </w:rPr>
        <w:t>结合</w:t>
      </w:r>
      <w:r>
        <w:rPr>
          <w:rFonts w:hint="eastAsia" w:ascii="Times New Roman" w:hAnsi="Times New Roman" w:eastAsia="仿宋_GB2312" w:cs="Segoe UI"/>
          <w:color w:val="auto"/>
          <w:sz w:val="32"/>
          <w:szCs w:val="32"/>
          <w:lang w:eastAsia="zh-CN"/>
        </w:rPr>
        <w:t>高</w:t>
      </w:r>
      <w:r>
        <w:rPr>
          <w:rFonts w:hint="eastAsia" w:ascii="Times New Roman" w:hAnsi="Times New Roman" w:eastAsia="仿宋_GB2312" w:cs="Segoe UI"/>
          <w:color w:val="auto"/>
          <w:sz w:val="32"/>
          <w:szCs w:val="32"/>
        </w:rPr>
        <w:t>区实际，</w:t>
      </w:r>
      <w:r>
        <w:rPr>
          <w:rFonts w:ascii="Times New Roman" w:hAnsi="Times New Roman" w:eastAsia="仿宋_GB2312" w:cs="Segoe UI"/>
          <w:color w:val="auto"/>
          <w:sz w:val="32"/>
          <w:szCs w:val="32"/>
        </w:rPr>
        <w:t>提出以下意见。</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一、总体要求</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Times New Roman" w:hAnsi="Times New Roman" w:eastAsia="仿宋_GB2312" w:cs="Segoe UI"/>
          <w:color w:val="auto"/>
          <w:sz w:val="32"/>
          <w:szCs w:val="32"/>
        </w:rPr>
        <w:t>以习近平新时代中国特色社会主义思想为指导，全面贯彻党的二十大精神，认真落实习近平总书记对山东工作的重要指示要求，</w:t>
      </w:r>
      <w:r>
        <w:rPr>
          <w:rFonts w:hint="eastAsia" w:ascii="Times New Roman" w:hAnsi="Times New Roman" w:eastAsia="仿宋_GB2312" w:cs="Segoe UI"/>
          <w:color w:val="auto"/>
          <w:sz w:val="32"/>
          <w:szCs w:val="32"/>
          <w:highlight w:val="none"/>
        </w:rPr>
        <w:t>与“精致城市”建设相结合，</w:t>
      </w:r>
      <w:r>
        <w:rPr>
          <w:rFonts w:hint="eastAsia" w:ascii="Times New Roman" w:hAnsi="Times New Roman" w:eastAsia="仿宋_GB2312" w:cs="Segoe UI"/>
          <w:color w:val="auto"/>
          <w:sz w:val="32"/>
          <w:szCs w:val="32"/>
        </w:rPr>
        <w:t>全面贯彻新发展理念，按照“走在前、开新局”部署要求，立足满足城乡居民消费需求，聚焦高区产业特色和优势，打造预制菜产业高地和产业集群，推动预制菜全产业链高质量发展。到2025年，全区预制菜加工能力进一步提升、标准化水平明显提高、核心竞争力显著增强、品牌效应更加凸显，预制菜市场主体数量30家，全产业链产值超过10亿元。</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二、建强全产业链</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（一）建设标准化原料生产基地。</w:t>
      </w:r>
      <w:r>
        <w:rPr>
          <w:rFonts w:hint="eastAsia" w:ascii="Times New Roman" w:hAnsi="Times New Roman" w:eastAsia="仿宋_GB2312" w:cs="Segoe UI"/>
          <w:color w:val="auto"/>
          <w:sz w:val="32"/>
          <w:szCs w:val="32"/>
        </w:rPr>
        <w:t>按照“三品一标”要求，推进农产品品种培优、品质提升、品牌打造和标准化生产。落实“</w:t>
      </w:r>
      <w:r>
        <w:rPr>
          <w:rFonts w:ascii="Times New Roman" w:hAnsi="Times New Roman" w:eastAsia="仿宋_GB2312" w:cs="Segoe UI"/>
          <w:color w:val="auto"/>
          <w:sz w:val="32"/>
          <w:szCs w:val="32"/>
        </w:rPr>
        <w:t>13</w:t>
      </w:r>
      <w:r>
        <w:rPr>
          <w:rFonts w:hint="eastAsia" w:ascii="仿宋_GB2312" w:hAnsi="仿宋_GB2312" w:eastAsia="仿宋_GB2312" w:cs="仿宋_GB2312"/>
          <w:color w:val="auto"/>
          <w:sz w:val="32"/>
          <w:szCs w:val="32"/>
        </w:rPr>
        <w:t>+</w:t>
      </w:r>
      <w:r>
        <w:rPr>
          <w:rFonts w:ascii="Times New Roman" w:hAnsi="Times New Roman" w:eastAsia="仿宋_GB2312" w:cs="Segoe UI"/>
          <w:color w:val="auto"/>
          <w:sz w:val="32"/>
          <w:szCs w:val="32"/>
        </w:rPr>
        <w:t>N</w:t>
      </w:r>
      <w:r>
        <w:rPr>
          <w:rFonts w:hint="eastAsia" w:ascii="Times New Roman" w:hAnsi="Times New Roman" w:eastAsia="仿宋_GB2312" w:cs="Segoe UI"/>
          <w:color w:val="auto"/>
          <w:sz w:val="32"/>
          <w:szCs w:val="32"/>
        </w:rPr>
        <w:t>”优势特色产业培育方案，打造果菜菌、畜禽、水产健康养殖等原料供应基地，提升标准化、规范化、规模化水平。支持预制菜企业通过自建基地、订单基地等方式，采取“企业+合作社+基地”模式，稳定原料供应，保障质量安全，提升品质水平。（</w:t>
      </w:r>
      <w:r>
        <w:rPr>
          <w:rFonts w:hint="eastAsia" w:ascii="楷体_GB2312" w:hAnsi="楷体_GB2312" w:eastAsia="楷体_GB2312" w:cs="楷体_GB2312"/>
          <w:color w:val="auto"/>
          <w:sz w:val="32"/>
          <w:szCs w:val="32"/>
        </w:rPr>
        <w:t>区农业发展服务中心负责</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（二）培育壮大预制菜加工企业。</w:t>
      </w:r>
      <w:r>
        <w:rPr>
          <w:rFonts w:hint="eastAsia" w:ascii="Times New Roman" w:hAnsi="Times New Roman" w:eastAsia="仿宋_GB2312" w:cs="Segoe UI"/>
          <w:color w:val="auto"/>
          <w:sz w:val="32"/>
          <w:szCs w:val="32"/>
        </w:rPr>
        <w:t>支持预制菜企业开展智能化改造、数字化转型，建立完善设计研发、生产加工、冷藏仓储、分拣配送体系，打造预制菜龙头企业。强化优质中小企业培育，提高市场竞争力，推动向“专精特新”“小巨人”“单项冠军”企业转化。创新推广“生产基地</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中央厨房</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餐饮门店”“生产基地</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加工企业</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电商销售”“健康数据</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营养配餐</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私人订制”等模式，发展团餐、电子商务等新业态。支持符合条件的预制菜企业上市挂牌融资、发行债券，对在境内外资本市场上市挂牌的企业</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按照《威海火炬高技术产业开发区管理</w:t>
      </w:r>
      <w:r>
        <w:rPr>
          <w:rFonts w:hint="eastAsia" w:ascii="仿宋_GB2312" w:hAnsi="仿宋_GB2312" w:eastAsia="仿宋_GB2312" w:cs="仿宋_GB2312"/>
          <w:color w:val="auto"/>
          <w:sz w:val="32"/>
          <w:szCs w:val="32"/>
        </w:rPr>
        <w:t>委员</w:t>
      </w:r>
      <w:r>
        <w:rPr>
          <w:rFonts w:hint="eastAsia" w:ascii="Times New Roman" w:hAnsi="Times New Roman" w:eastAsia="仿宋_GB2312" w:cs="Segoe UI"/>
          <w:color w:val="auto"/>
          <w:sz w:val="32"/>
          <w:szCs w:val="32"/>
        </w:rPr>
        <w:t>会关于推进企业</w:t>
      </w:r>
      <w:r>
        <w:rPr>
          <w:rFonts w:hint="eastAsia" w:ascii="仿宋_GB2312" w:hAnsi="仿宋_GB2312" w:eastAsia="仿宋_GB2312" w:cs="仿宋_GB2312"/>
          <w:color w:val="auto"/>
          <w:sz w:val="32"/>
          <w:szCs w:val="32"/>
        </w:rPr>
        <w:t>利用</w:t>
      </w:r>
      <w:r>
        <w:rPr>
          <w:rFonts w:hint="eastAsia" w:ascii="Times New Roman" w:hAnsi="Times New Roman" w:eastAsia="仿宋_GB2312" w:cs="Segoe UI"/>
          <w:color w:val="auto"/>
          <w:sz w:val="32"/>
          <w:szCs w:val="32"/>
        </w:rPr>
        <w:t>资本市场加快发展若干政策的意见》（威高管发〔</w:t>
      </w:r>
      <w:r>
        <w:rPr>
          <w:rFonts w:ascii="Times New Roman" w:hAnsi="Times New Roman" w:eastAsia="仿宋_GB2312" w:cs="Segoe UI"/>
          <w:color w:val="auto"/>
          <w:sz w:val="32"/>
          <w:szCs w:val="32"/>
        </w:rPr>
        <w:t>2022</w:t>
      </w:r>
      <w:r>
        <w:rPr>
          <w:rFonts w:hint="eastAsia" w:ascii="Times New Roman" w:hAnsi="Times New Roman" w:eastAsia="仿宋_GB2312" w:cs="Segoe UI"/>
          <w:color w:val="auto"/>
          <w:sz w:val="32"/>
          <w:szCs w:val="32"/>
        </w:rPr>
        <w:t>〕6号）规定给补助。（</w:t>
      </w:r>
      <w:r>
        <w:rPr>
          <w:rFonts w:hint="eastAsia" w:ascii="楷体_GB2312" w:hAnsi="楷体_GB2312" w:eastAsia="楷体_GB2312" w:cs="楷体_GB2312"/>
          <w:color w:val="auto"/>
          <w:sz w:val="32"/>
          <w:szCs w:val="32"/>
        </w:rPr>
        <w:t>区经济发展局牵头，区财政金融局、区商务局、区市场监督管理局、区农业发展服务中心配合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（三）支持发展冷链物流。</w:t>
      </w:r>
      <w:r>
        <w:rPr>
          <w:rFonts w:hint="eastAsia" w:ascii="Times New Roman" w:hAnsi="Times New Roman" w:eastAsia="仿宋_GB2312" w:cs="Segoe UI"/>
          <w:color w:val="auto"/>
          <w:sz w:val="32"/>
          <w:szCs w:val="32"/>
        </w:rPr>
        <w:t>利用中央加强农产品供应链体系建设资金，建设预制菜冷链仓储、加工、物流等基础设施，提升冷链流通支撑能力，形成“冷藏设施</w:t>
      </w:r>
      <w:r>
        <w:rPr>
          <w:rFonts w:hint="eastAsia" w:ascii="仿宋_GB2312" w:hAnsi="仿宋_GB2312" w:eastAsia="仿宋_GB2312" w:cs="仿宋_GB2312"/>
          <w:color w:val="auto"/>
          <w:sz w:val="32"/>
          <w:szCs w:val="32"/>
        </w:rPr>
        <w:t>-冷链企业-冷链区域中心</w:t>
      </w:r>
      <w:r>
        <w:rPr>
          <w:rFonts w:hint="eastAsia" w:ascii="Times New Roman" w:hAnsi="Times New Roman" w:eastAsia="仿宋_GB2312" w:cs="Segoe UI"/>
          <w:color w:val="auto"/>
          <w:sz w:val="32"/>
          <w:szCs w:val="32"/>
        </w:rPr>
        <w:t>”一体化冷链体系，构建“</w:t>
      </w:r>
      <w:r>
        <w:rPr>
          <w:rFonts w:hint="eastAsia" w:ascii="仿宋_GB2312" w:hAnsi="仿宋_GB2312" w:eastAsia="仿宋_GB2312" w:cs="仿宋_GB2312"/>
          <w:color w:val="auto"/>
          <w:sz w:val="32"/>
          <w:szCs w:val="32"/>
        </w:rPr>
        <w:t>原料-车间-餐桌</w:t>
      </w:r>
      <w:r>
        <w:rPr>
          <w:rFonts w:hint="eastAsia" w:ascii="Times New Roman" w:hAnsi="Times New Roman" w:eastAsia="仿宋_GB2312" w:cs="Segoe UI"/>
          <w:color w:val="auto"/>
          <w:sz w:val="32"/>
          <w:szCs w:val="32"/>
        </w:rPr>
        <w:t>”全程冷链物流闭环。支持预制菜企业利用现有的冷链物流网络，拓展预制菜冷链物流服务渠道。相关扶持政策按《威海市人民政府办公室关于加快推进威海预制菜产业高质量发展的实施意见》（威政办字〔</w:t>
      </w:r>
      <w:r>
        <w:rPr>
          <w:rFonts w:ascii="Times New Roman" w:hAnsi="Times New Roman" w:eastAsia="仿宋_GB2312" w:cs="Segoe UI"/>
          <w:color w:val="auto"/>
          <w:sz w:val="32"/>
          <w:szCs w:val="32"/>
        </w:rPr>
        <w:t>2022</w:t>
      </w:r>
      <w:r>
        <w:rPr>
          <w:rFonts w:hint="eastAsia" w:ascii="Times New Roman" w:hAnsi="Times New Roman" w:eastAsia="仿宋_GB2312" w:cs="Segoe UI"/>
          <w:color w:val="auto"/>
          <w:sz w:val="32"/>
          <w:szCs w:val="32"/>
        </w:rPr>
        <w:t>〕</w:t>
      </w:r>
      <w:r>
        <w:rPr>
          <w:rFonts w:ascii="Times New Roman" w:hAnsi="Times New Roman" w:eastAsia="仿宋_GB2312" w:cs="Segoe UI"/>
          <w:color w:val="auto"/>
          <w:sz w:val="32"/>
          <w:szCs w:val="32"/>
        </w:rPr>
        <w:t>41</w:t>
      </w:r>
      <w:r>
        <w:rPr>
          <w:rFonts w:hint="eastAsia" w:ascii="Times New Roman" w:hAnsi="Times New Roman" w:eastAsia="仿宋_GB2312" w:cs="Segoe UI"/>
          <w:color w:val="auto"/>
          <w:sz w:val="32"/>
          <w:szCs w:val="32"/>
        </w:rPr>
        <w:t>号）规定执行。（</w:t>
      </w:r>
      <w:r>
        <w:rPr>
          <w:rFonts w:hint="eastAsia" w:ascii="楷体_GB2312" w:hAnsi="楷体_GB2312" w:eastAsia="楷体_GB2312" w:cs="楷体_GB2312"/>
          <w:color w:val="auto"/>
          <w:sz w:val="32"/>
          <w:szCs w:val="32"/>
        </w:rPr>
        <w:t>区农业发展服务中心牵头，区经济发展局、区商务局、区市场监督管理局配合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（四）推动产业集聚发展。</w:t>
      </w:r>
      <w:r>
        <w:rPr>
          <w:rFonts w:hint="eastAsia" w:ascii="Times New Roman" w:hAnsi="Times New Roman" w:eastAsia="仿宋_GB2312"/>
          <w:color w:val="auto"/>
          <w:sz w:val="32"/>
          <w:szCs w:val="32"/>
        </w:rPr>
        <w:t>立足资源禀赋、区位优势，围绕“即配、即烹、即热、即食”4种形态，推动海产品预制菜产业集群、畜产品预制菜产业集群、农产品预制菜产业集群、地方菜系预制菜产业集群建设。预制菜产业集群发展要立足当地优质原料供应，着眼国际国内两大市场，找准市场定位，强化产品创新，以预制菜加工产业带动优质海、畜、农产品生产，以龙头企业提升带动中小企业发展，形成相互支持、相互促进、抱团发展、互利共赢局面。</w:t>
      </w:r>
      <w:r>
        <w:rPr>
          <w:rFonts w:hint="eastAsia" w:ascii="Times New Roman" w:hAnsi="Times New Roman" w:eastAsia="仿宋_GB2312" w:cs="Segoe UI"/>
          <w:color w:val="auto"/>
          <w:sz w:val="32"/>
          <w:szCs w:val="32"/>
        </w:rPr>
        <w:t>（</w:t>
      </w:r>
      <w:r>
        <w:rPr>
          <w:rFonts w:hint="eastAsia" w:ascii="楷体_GB2312" w:hAnsi="楷体_GB2312" w:eastAsia="楷体_GB2312" w:cs="楷体_GB2312"/>
          <w:color w:val="auto"/>
          <w:sz w:val="32"/>
          <w:szCs w:val="32"/>
        </w:rPr>
        <w:t>区农业发展服务中心牵头，区经济发展局配合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三、拓展多维市场</w:t>
      </w:r>
    </w:p>
    <w:p>
      <w:pPr>
        <w:pStyle w:val="4"/>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（五）开发多元产品。</w:t>
      </w:r>
      <w:r>
        <w:rPr>
          <w:rFonts w:hint="eastAsia" w:ascii="Times New Roman" w:hAnsi="Times New Roman" w:eastAsia="仿宋_GB2312" w:cs="Segoe UI"/>
          <w:color w:val="auto"/>
          <w:sz w:val="32"/>
          <w:szCs w:val="32"/>
        </w:rPr>
        <w:t>适应消费市场需求，推动传统菜肴、地方特色食品与现代化、标准化生产技术结合，挖掘“鲁菜”资源优势，丰富预制菜产品种类。支持预制菜企业与科研院校合作，依托专业技术人才，开发特色突出、复原性好的技术和产品，打造消费者认可、市场占有率高、具有示范引领作用的预制菜产品。</w:t>
      </w:r>
      <w:r>
        <w:rPr>
          <w:rFonts w:hint="eastAsia" w:ascii="Times New Roman" w:hAnsi="Times New Roman" w:eastAsia="仿宋_GB2312"/>
          <w:color w:val="auto"/>
          <w:sz w:val="32"/>
          <w:szCs w:val="32"/>
        </w:rPr>
        <w:t>积极参加威海特色菜评选活动，提升威海特色菜和餐饮品牌知名度</w:t>
      </w:r>
      <w:r>
        <w:rPr>
          <w:rFonts w:hint="eastAsia" w:ascii="仿宋_GB2312" w:hAnsi="仿宋_GB2312" w:eastAsia="仿宋_GB2312" w:cs="仿宋_GB2312"/>
          <w:color w:val="auto"/>
          <w:sz w:val="32"/>
          <w:szCs w:val="32"/>
        </w:rPr>
        <w:t>,</w:t>
      </w:r>
      <w:r>
        <w:rPr>
          <w:rFonts w:hint="eastAsia" w:ascii="Times New Roman" w:hAnsi="Times New Roman" w:eastAsia="仿宋_GB2312"/>
          <w:color w:val="auto"/>
          <w:sz w:val="32"/>
          <w:szCs w:val="32"/>
        </w:rPr>
        <w:t>鼓励协会和餐饮单位定期组织餐饮培训，提升餐饮从业人员技能素质。</w:t>
      </w:r>
      <w:r>
        <w:rPr>
          <w:rFonts w:hint="eastAsia" w:ascii="Times New Roman" w:hAnsi="Times New Roman" w:eastAsia="仿宋_GB2312" w:cs="Segoe UI"/>
          <w:color w:val="auto"/>
          <w:sz w:val="32"/>
          <w:szCs w:val="32"/>
        </w:rPr>
        <w:t>（</w:t>
      </w:r>
      <w:r>
        <w:rPr>
          <w:rFonts w:hint="eastAsia" w:ascii="楷体_GB2312" w:hAnsi="楷体_GB2312" w:eastAsia="楷体_GB2312" w:cs="楷体_GB2312"/>
          <w:color w:val="auto"/>
          <w:sz w:val="32"/>
          <w:szCs w:val="32"/>
        </w:rPr>
        <w:t>区经济发展局牵头，区科技创新局、区商务局、区社会事业服务中心、区农业发展服务中心配合</w:t>
      </w:r>
      <w:r>
        <w:rPr>
          <w:rFonts w:hint="eastAsia" w:ascii="Times New Roman" w:hAnsi="Times New Roman" w:eastAsia="仿宋_GB2312" w:cs="Segoe UI"/>
          <w:color w:val="auto"/>
          <w:sz w:val="32"/>
          <w:szCs w:val="32"/>
        </w:rPr>
        <w:t>）</w:t>
      </w:r>
    </w:p>
    <w:p>
      <w:pPr>
        <w:pStyle w:val="4"/>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（六）培育预制菜品牌。</w:t>
      </w:r>
      <w:r>
        <w:rPr>
          <w:rFonts w:hint="eastAsia" w:ascii="Times New Roman" w:hAnsi="Times New Roman" w:eastAsia="仿宋_GB2312"/>
          <w:color w:val="auto"/>
          <w:sz w:val="32"/>
          <w:szCs w:val="32"/>
        </w:rPr>
        <w:t>支持企业加强预制菜品牌建设，打造一批质量过硬、社会认可度高的预制菜特色品牌，提升附加值和软实力。积极参与威海预制菜品牌发展建设，打造“威海农产”“威海海鲜”品牌，巩固提升“</w:t>
      </w:r>
      <w:r>
        <w:rPr>
          <w:rFonts w:ascii="Times New Roman" w:hAnsi="Times New Roman" w:cs="Times New Roman"/>
          <w:color w:val="auto"/>
          <w:sz w:val="32"/>
          <w:szCs w:val="32"/>
        </w:rPr>
        <w:t>1</w:t>
      </w:r>
      <w:r>
        <w:rPr>
          <w:rFonts w:hint="eastAsia" w:ascii="仿宋_GB2312" w:hAnsi="仿宋_GB2312" w:eastAsia="仿宋_GB2312" w:cs="仿宋_GB2312"/>
          <w:color w:val="auto"/>
          <w:sz w:val="32"/>
          <w:szCs w:val="32"/>
        </w:rPr>
        <w:t>+</w:t>
      </w:r>
      <w:r>
        <w:rPr>
          <w:rFonts w:ascii="Times New Roman" w:hAnsi="Times New Roman" w:cs="Times New Roman"/>
          <w:color w:val="auto"/>
          <w:sz w:val="32"/>
          <w:szCs w:val="32"/>
        </w:rPr>
        <w:t>20</w:t>
      </w:r>
      <w:r>
        <w:rPr>
          <w:rFonts w:hint="eastAsia" w:ascii="仿宋_GB2312" w:hAnsi="仿宋_GB2312" w:eastAsia="仿宋_GB2312" w:cs="仿宋_GB2312"/>
          <w:color w:val="auto"/>
          <w:sz w:val="32"/>
          <w:szCs w:val="32"/>
        </w:rPr>
        <w:t>+</w:t>
      </w:r>
      <w:r>
        <w:rPr>
          <w:rFonts w:ascii="Times New Roman" w:hAnsi="Times New Roman" w:cs="Times New Roman"/>
          <w:color w:val="auto"/>
          <w:sz w:val="32"/>
          <w:szCs w:val="32"/>
        </w:rPr>
        <w:t>N</w:t>
      </w:r>
      <w:r>
        <w:rPr>
          <w:rFonts w:hint="eastAsia" w:ascii="Times New Roman" w:hAnsi="Times New Roman" w:eastAsia="仿宋_GB2312"/>
          <w:color w:val="auto"/>
          <w:sz w:val="32"/>
          <w:szCs w:val="32"/>
        </w:rPr>
        <w:t>”农产品品牌体系和“</w:t>
      </w:r>
      <w:r>
        <w:rPr>
          <w:rFonts w:ascii="Times New Roman" w:hAnsi="Times New Roman" w:cs="Times New Roman"/>
          <w:color w:val="auto"/>
          <w:sz w:val="32"/>
          <w:szCs w:val="32"/>
        </w:rPr>
        <w:t>1</w:t>
      </w:r>
      <w:r>
        <w:rPr>
          <w:rFonts w:hint="eastAsia" w:ascii="仿宋_GB2312" w:hAnsi="仿宋_GB2312" w:eastAsia="仿宋_GB2312" w:cs="仿宋_GB2312"/>
          <w:color w:val="auto"/>
          <w:sz w:val="32"/>
          <w:szCs w:val="32"/>
        </w:rPr>
        <w:t>+</w:t>
      </w:r>
      <w:r>
        <w:rPr>
          <w:rFonts w:ascii="Times New Roman" w:hAnsi="Times New Roman" w:cs="Times New Roman"/>
          <w:color w:val="auto"/>
          <w:sz w:val="32"/>
          <w:szCs w:val="32"/>
        </w:rPr>
        <w:t>3</w:t>
      </w:r>
      <w:r>
        <w:rPr>
          <w:rFonts w:hint="eastAsia" w:ascii="仿宋_GB2312" w:hAnsi="仿宋_GB2312" w:eastAsia="仿宋_GB2312" w:cs="仿宋_GB2312"/>
          <w:color w:val="auto"/>
          <w:sz w:val="32"/>
          <w:szCs w:val="32"/>
        </w:rPr>
        <w:t>+</w:t>
      </w:r>
      <w:r>
        <w:rPr>
          <w:rFonts w:ascii="Times New Roman" w:hAnsi="Times New Roman" w:cs="Times New Roman"/>
          <w:color w:val="auto"/>
          <w:sz w:val="32"/>
          <w:szCs w:val="32"/>
        </w:rPr>
        <w:t>N</w:t>
      </w:r>
      <w:r>
        <w:rPr>
          <w:rFonts w:hint="eastAsia" w:ascii="Times New Roman" w:hAnsi="Times New Roman" w:eastAsia="仿宋_GB2312"/>
          <w:color w:val="auto"/>
          <w:sz w:val="32"/>
          <w:szCs w:val="32"/>
        </w:rPr>
        <w:t>”渔业品牌体系。</w:t>
      </w:r>
      <w:r>
        <w:rPr>
          <w:rFonts w:hint="eastAsia" w:ascii="Times New Roman" w:hAnsi="Times New Roman" w:eastAsia="仿宋_GB2312" w:cs="Segoe UI"/>
          <w:color w:val="auto"/>
          <w:sz w:val="32"/>
          <w:szCs w:val="32"/>
        </w:rPr>
        <w:t>（</w:t>
      </w:r>
      <w:r>
        <w:rPr>
          <w:rFonts w:hint="eastAsia" w:ascii="楷体_GB2312" w:hAnsi="楷体_GB2312" w:eastAsia="楷体_GB2312" w:cs="楷体_GB2312"/>
          <w:color w:val="auto"/>
          <w:sz w:val="32"/>
          <w:szCs w:val="32"/>
        </w:rPr>
        <w:t>区农业发展服务中心牵头，区经济发展局、区商务局、区市场监督管理局配合</w:t>
      </w:r>
      <w:r>
        <w:rPr>
          <w:rFonts w:hint="eastAsia" w:ascii="Times New Roman" w:hAnsi="Times New Roman" w:eastAsia="仿宋_GB2312" w:cs="Segoe UI"/>
          <w:color w:val="auto"/>
          <w:sz w:val="32"/>
          <w:szCs w:val="32"/>
        </w:rPr>
        <w:t>）</w:t>
      </w:r>
    </w:p>
    <w:p>
      <w:pPr>
        <w:pStyle w:val="4"/>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（七）加强产销对接。</w:t>
      </w:r>
      <w:r>
        <w:rPr>
          <w:rFonts w:hint="eastAsia" w:ascii="Times New Roman" w:hAnsi="Times New Roman" w:eastAsia="仿宋_GB2312"/>
          <w:color w:val="auto"/>
          <w:sz w:val="32"/>
          <w:szCs w:val="32"/>
        </w:rPr>
        <w:t>鼓励有条件的企业加快建设预制菜供应链公共服务平台，提供产品供应链管理、大数据营销等服务，推动工业互联网平台建设应用。引导预制菜企业研发生产电商适销商品，拓宽线上销售渠道。组织企业对接电商平台、直播机构等资源，开展预制菜供应链合作。</w:t>
      </w:r>
      <w:r>
        <w:rPr>
          <w:rFonts w:hint="eastAsia" w:ascii="Times New Roman" w:hAnsi="Times New Roman" w:eastAsia="仿宋_GB2312" w:cs="Segoe UI"/>
          <w:color w:val="auto"/>
          <w:sz w:val="32"/>
          <w:szCs w:val="32"/>
        </w:rPr>
        <w:t>大力培育预制菜出口示范企业，畅通外循环渠道，推动预制菜“走出去”。（</w:t>
      </w:r>
      <w:r>
        <w:rPr>
          <w:rFonts w:hint="eastAsia" w:ascii="楷体_GB2312" w:hAnsi="楷体_GB2312" w:eastAsia="楷体_GB2312" w:cs="楷体_GB2312"/>
          <w:color w:val="auto"/>
          <w:sz w:val="32"/>
          <w:szCs w:val="32"/>
        </w:rPr>
        <w:t>区农业发展服务中心牵头，区经济发展局、区商务局、区社会事业服务中心配合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四、构建标准体系</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（八）推进预制菜标准体系研制。</w:t>
      </w:r>
      <w:r>
        <w:rPr>
          <w:rFonts w:hint="eastAsia" w:ascii="Times New Roman" w:hAnsi="Times New Roman" w:eastAsia="仿宋_GB2312" w:cs="Segoe UI"/>
          <w:color w:val="auto"/>
          <w:sz w:val="32"/>
          <w:szCs w:val="32"/>
        </w:rPr>
        <w:t>围绕预制菜产品类别、原料生产、产品供应、加工生产与食品营养及功能等方面，加快预制菜标准研制，支持有关社会团体协调相关市场主体制定团体标准，参与全产业链预制菜标准体系建设。（</w:t>
      </w:r>
      <w:r>
        <w:rPr>
          <w:rFonts w:hint="eastAsia" w:ascii="楷体_GB2312" w:hAnsi="楷体_GB2312" w:eastAsia="楷体_GB2312" w:cs="楷体_GB2312"/>
          <w:color w:val="auto"/>
          <w:sz w:val="32"/>
          <w:szCs w:val="32"/>
        </w:rPr>
        <w:t>区经济发展局、区商务局、区市场监督管理局、区农业发展服务中心、</w:t>
      </w:r>
      <w:r>
        <w:rPr>
          <w:rFonts w:hint="eastAsia" w:ascii="楷体_GB2312" w:hAnsi="楷体_GB2312" w:eastAsia="楷体_GB2312" w:cs="楷体_GB2312"/>
          <w:color w:val="auto"/>
          <w:sz w:val="32"/>
          <w:szCs w:val="32"/>
          <w:lang w:eastAsia="zh-CN"/>
        </w:rPr>
        <w:t>卫健</w:t>
      </w:r>
      <w:r>
        <w:rPr>
          <w:rFonts w:hint="eastAsia" w:ascii="楷体_GB2312" w:hAnsi="楷体_GB2312" w:eastAsia="楷体_GB2312" w:cs="楷体_GB2312"/>
          <w:color w:val="auto"/>
          <w:sz w:val="32"/>
          <w:szCs w:val="32"/>
        </w:rPr>
        <w:t>高区管理办公室按职责分工负责</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（九）构建预制菜食品安全监管体系。</w:t>
      </w:r>
      <w:r>
        <w:rPr>
          <w:rFonts w:hint="eastAsia" w:ascii="Times New Roman" w:hAnsi="Times New Roman" w:eastAsia="仿宋_GB2312" w:cs="Segoe UI"/>
          <w:color w:val="auto"/>
          <w:sz w:val="32"/>
          <w:szCs w:val="32"/>
        </w:rPr>
        <w:t>健全食品安全追溯体系，完善预制菜行业监管机制，强化预制菜“从产地到餐桌”全程监管。严格落实预制食品生产标准，推动“明厨亮灶”向预制菜生产车间、中央厨房等加工环节延伸，确保预制菜食品安全。支持预制菜行业协会等社会组织发挥作用，提高行业自我管理能力。推动预制菜生产企业落实食品安全主体责任，发挥信用监管作用，开展预制菜企业诚信体系评价，加大对违法失信生产经营企业的约束惩戒。（</w:t>
      </w:r>
      <w:r>
        <w:rPr>
          <w:rFonts w:hint="eastAsia" w:ascii="楷体_GB2312" w:hAnsi="楷体_GB2312" w:eastAsia="楷体_GB2312" w:cs="楷体_GB2312"/>
          <w:color w:val="auto"/>
          <w:sz w:val="32"/>
          <w:szCs w:val="32"/>
        </w:rPr>
        <w:t>区市场监督管理局牵头，区经济发展局、区商务局、区公安分局、区农业发展服务中心配合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五、提升创新能力</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（十）建设产业技术创新平台。</w:t>
      </w:r>
      <w:r>
        <w:rPr>
          <w:rFonts w:hint="eastAsia" w:ascii="Times New Roman" w:hAnsi="Times New Roman" w:eastAsia="仿宋_GB2312" w:cs="Segoe UI"/>
          <w:color w:val="auto"/>
          <w:sz w:val="32"/>
          <w:szCs w:val="32"/>
        </w:rPr>
        <w:t>鼓励高校、科研院所与预制菜龙头企业、行业协会共同建设预制菜联合研发平台。支持符合条件的预制菜企业与科研机构建设重点实验室、技术创新中心、工程研究中心、制造业创新中心。强化服务保障能力，引导专家、技术、成果向企业流动，提供技术转移、科技咨询等全链条科技服务。（</w:t>
      </w:r>
      <w:r>
        <w:rPr>
          <w:rFonts w:hint="eastAsia" w:ascii="楷体_GB2312" w:hAnsi="楷体_GB2312" w:eastAsia="楷体_GB2312" w:cs="楷体_GB2312"/>
          <w:color w:val="auto"/>
          <w:sz w:val="32"/>
          <w:szCs w:val="32"/>
        </w:rPr>
        <w:t>区科技创新局牵头，区经济发展局、区农业发展服务中心配合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（十一）培养预制菜产业人才。</w:t>
      </w:r>
      <w:r>
        <w:rPr>
          <w:rFonts w:hint="eastAsia" w:ascii="Times New Roman" w:hAnsi="Times New Roman" w:eastAsia="仿宋_GB2312" w:cs="Segoe UI"/>
          <w:color w:val="auto"/>
          <w:sz w:val="32"/>
          <w:szCs w:val="32"/>
        </w:rPr>
        <w:t>加大招才引智力度，支持预制菜领域人才参与泰山学者特聘专家、泰山产业领军人才、泰山青年、省有突出贡献的中青年专家等省级人才评选，打造高层次预制菜产业技术人才队伍。加强企业家队伍建设，培育一批有经营理念、市场眼光、开拓精神、创新能力的预制菜企业家。加大预制菜职业技能培训力度，培育一批适合市场需要的专业技能人才。（</w:t>
      </w:r>
      <w:r>
        <w:rPr>
          <w:rFonts w:hint="eastAsia" w:ascii="楷体_GB2312" w:hAnsi="楷体_GB2312" w:eastAsia="楷体_GB2312" w:cs="楷体_GB2312"/>
          <w:color w:val="auto"/>
          <w:sz w:val="32"/>
          <w:szCs w:val="32"/>
        </w:rPr>
        <w:t>区科技创新局牵头，区经济发展局、区农业发展服务中心配合</w:t>
      </w:r>
      <w:r>
        <w:rPr>
          <w:rFonts w:hint="eastAsia" w:ascii="Times New Roman" w:hAnsi="Times New Roman" w:eastAsia="仿宋_GB2312" w:cs="Segoe UI"/>
          <w:color w:val="auto"/>
          <w:sz w:val="32"/>
          <w:szCs w:val="32"/>
        </w:rPr>
        <w:t>）</w:t>
      </w:r>
    </w:p>
    <w:p>
      <w:pPr>
        <w:pStyle w:val="4"/>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（十二）开展关键共性技术及装备研发。</w:t>
      </w:r>
      <w:r>
        <w:rPr>
          <w:rFonts w:hint="eastAsia" w:ascii="Times New Roman" w:hAnsi="Times New Roman" w:eastAsia="仿宋_GB2312" w:cs="Segoe UI"/>
          <w:color w:val="auto"/>
          <w:sz w:val="32"/>
          <w:szCs w:val="32"/>
        </w:rPr>
        <w:t>聚焦农业、渔业、畜禽等预制菜重点领域，强化产学研合作，集中突破新产品开发、绿色加工、物流保鲜、全程品控等全链条新型实用技术，推动关键技术集成应用、科技成果转移转化。扶持预制菜加工装备研发</w:t>
      </w:r>
      <w:r>
        <w:rPr>
          <w:rFonts w:hint="eastAsia" w:ascii="Times New Roman" w:hAnsi="Times New Roman" w:eastAsia="仿宋_GB2312" w:cs="Segoe UI"/>
          <w:color w:val="auto"/>
          <w:sz w:val="32"/>
          <w:szCs w:val="32"/>
          <w:lang w:eastAsia="zh-CN"/>
        </w:rPr>
        <w:t>机构</w:t>
      </w:r>
      <w:r>
        <w:rPr>
          <w:rFonts w:hint="eastAsia" w:ascii="Times New Roman" w:hAnsi="Times New Roman" w:eastAsia="仿宋_GB2312" w:cs="Segoe UI"/>
          <w:color w:val="auto"/>
          <w:sz w:val="32"/>
          <w:szCs w:val="32"/>
        </w:rPr>
        <w:t>，加快研发推广一批信息化、智能化、工程化预制菜加工装备。</w:t>
      </w:r>
      <w:r>
        <w:rPr>
          <w:rFonts w:hint="eastAsia" w:ascii="Times New Roman" w:hAnsi="Times New Roman" w:eastAsia="仿宋_GB2312"/>
          <w:color w:val="auto"/>
          <w:sz w:val="32"/>
          <w:szCs w:val="32"/>
        </w:rPr>
        <w:t>帮助符合条件的预制菜企业申请农发行政策性贷款。对符合条件的预制菜产业技改项目等，按照</w:t>
      </w:r>
      <w:r>
        <w:rPr>
          <w:rFonts w:hint="eastAsia" w:ascii="Times New Roman" w:hAnsi="Times New Roman" w:eastAsia="仿宋_GB2312" w:cs="Segoe UI"/>
          <w:color w:val="auto"/>
          <w:sz w:val="32"/>
          <w:szCs w:val="32"/>
        </w:rPr>
        <w:t>《威海市人民政府办公室关于加快推进威海预制菜产业高质量发展的实施意见》（威政办字〔</w:t>
      </w:r>
      <w:r>
        <w:rPr>
          <w:rFonts w:ascii="Times New Roman" w:hAnsi="Times New Roman" w:eastAsia="仿宋_GB2312" w:cs="Segoe UI"/>
          <w:color w:val="auto"/>
          <w:sz w:val="32"/>
          <w:szCs w:val="32"/>
        </w:rPr>
        <w:t>2022</w:t>
      </w:r>
      <w:r>
        <w:rPr>
          <w:rFonts w:hint="eastAsia" w:ascii="Times New Roman" w:hAnsi="Times New Roman" w:eastAsia="仿宋_GB2312" w:cs="Segoe UI"/>
          <w:color w:val="auto"/>
          <w:sz w:val="32"/>
          <w:szCs w:val="32"/>
        </w:rPr>
        <w:t>〕</w:t>
      </w:r>
      <w:r>
        <w:rPr>
          <w:rFonts w:ascii="Times New Roman" w:hAnsi="Times New Roman" w:eastAsia="仿宋_GB2312" w:cs="Segoe UI"/>
          <w:color w:val="auto"/>
          <w:sz w:val="32"/>
          <w:szCs w:val="32"/>
        </w:rPr>
        <w:t>41</w:t>
      </w:r>
      <w:r>
        <w:rPr>
          <w:rFonts w:hint="eastAsia" w:ascii="Times New Roman" w:hAnsi="Times New Roman" w:eastAsia="仿宋_GB2312" w:cs="Segoe UI"/>
          <w:color w:val="auto"/>
          <w:sz w:val="32"/>
          <w:szCs w:val="32"/>
        </w:rPr>
        <w:t>号）规定</w:t>
      </w:r>
      <w:r>
        <w:rPr>
          <w:rFonts w:hint="eastAsia" w:ascii="Times New Roman" w:hAnsi="Times New Roman" w:eastAsia="仿宋_GB2312"/>
          <w:color w:val="auto"/>
          <w:sz w:val="32"/>
          <w:szCs w:val="32"/>
        </w:rPr>
        <w:t>，给予贴息支持。</w:t>
      </w:r>
      <w:r>
        <w:rPr>
          <w:rFonts w:hint="eastAsia" w:ascii="Times New Roman" w:hAnsi="Times New Roman" w:eastAsia="仿宋_GB2312" w:cs="Segoe UI"/>
          <w:color w:val="auto"/>
          <w:sz w:val="32"/>
          <w:szCs w:val="32"/>
        </w:rPr>
        <w:t>（</w:t>
      </w:r>
      <w:r>
        <w:rPr>
          <w:rFonts w:hint="eastAsia" w:ascii="楷体_GB2312" w:hAnsi="楷体_GB2312" w:eastAsia="楷体_GB2312" w:cs="楷体_GB2312"/>
          <w:color w:val="auto"/>
          <w:sz w:val="32"/>
          <w:szCs w:val="32"/>
        </w:rPr>
        <w:t>区科技创新局牵头，区经济发展局、区财政金融局、区商务局、卫健高区管理办公室配合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黑体" w:cs="Segoe UI"/>
          <w:color w:val="auto"/>
          <w:sz w:val="32"/>
          <w:szCs w:val="32"/>
        </w:rPr>
      </w:pPr>
      <w:r>
        <w:rPr>
          <w:rFonts w:hint="eastAsia" w:ascii="Times New Roman" w:hAnsi="Times New Roman" w:eastAsia="黑体"/>
          <w:bCs/>
          <w:color w:val="auto"/>
          <w:sz w:val="32"/>
          <w:szCs w:val="32"/>
        </w:rPr>
        <w:t>六、强化支持保障</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（十三）加强组织领导。</w:t>
      </w:r>
      <w:r>
        <w:rPr>
          <w:rFonts w:hint="eastAsia" w:ascii="Times New Roman" w:hAnsi="Times New Roman" w:eastAsia="仿宋_GB2312" w:cs="Segoe UI"/>
          <w:color w:val="auto"/>
          <w:sz w:val="32"/>
          <w:szCs w:val="32"/>
        </w:rPr>
        <w:t>建立区预制菜产业高质量发展工作协调机制，强化统筹协调，定期会商重大事项，及时解决区内行业发展问题，推动预制菜产业健康有序发展。（</w:t>
      </w:r>
      <w:r>
        <w:rPr>
          <w:rFonts w:hint="eastAsia" w:ascii="楷体_GB2312" w:hAnsi="楷体_GB2312" w:eastAsia="楷体_GB2312" w:cs="楷体_GB2312"/>
          <w:color w:val="auto"/>
          <w:sz w:val="32"/>
          <w:szCs w:val="32"/>
        </w:rPr>
        <w:t>区农业发展服务中心牵头，区直有关部门配合</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（十四）强化财政扶持。</w:t>
      </w:r>
      <w:r>
        <w:rPr>
          <w:rFonts w:hint="eastAsia" w:ascii="Times New Roman" w:hAnsi="Times New Roman" w:eastAsia="仿宋_GB2312" w:cs="Segoe UI"/>
          <w:color w:val="auto"/>
          <w:sz w:val="32"/>
          <w:szCs w:val="32"/>
        </w:rPr>
        <w:t>区财政金融局牵头研究制定预制菜产业本级财政支持政策，在不形成地方政府隐性债务前提下，利用地方政府专项债券政策，支持企业建设预制菜产业项目。对工商资本年实际新增投资1亿元以上的预制菜项目，</w:t>
      </w:r>
      <w:r>
        <w:rPr>
          <w:rFonts w:hint="eastAsia" w:ascii="Times New Roman" w:hAnsi="Times New Roman" w:eastAsia="仿宋_GB2312" w:cs="Segoe UI"/>
          <w:color w:val="auto"/>
          <w:sz w:val="32"/>
          <w:szCs w:val="32"/>
          <w:lang w:eastAsia="zh-CN"/>
        </w:rPr>
        <w:t>按照省级文件要求，</w:t>
      </w:r>
      <w:r>
        <w:rPr>
          <w:rFonts w:hint="eastAsia" w:ascii="Times New Roman" w:hAnsi="Times New Roman" w:eastAsia="仿宋_GB2312" w:cs="Segoe UI"/>
          <w:color w:val="auto"/>
          <w:sz w:val="32"/>
          <w:szCs w:val="32"/>
        </w:rPr>
        <w:t>由省市县财政联动按实际新增投资额的1</w:t>
      </w:r>
      <w:r>
        <w:rPr>
          <w:rFonts w:hint="eastAsia" w:ascii="仿宋_GB2312" w:hAnsi="仿宋_GB2312" w:eastAsia="仿宋_GB2312" w:cs="仿宋_GB2312"/>
          <w:color w:val="auto"/>
          <w:sz w:val="32"/>
          <w:szCs w:val="32"/>
        </w:rPr>
        <w:t>%</w:t>
      </w:r>
      <w:r>
        <w:rPr>
          <w:rFonts w:hint="eastAsia" w:ascii="Times New Roman" w:hAnsi="Times New Roman" w:eastAsia="仿宋_GB2312" w:cs="Segoe UI"/>
          <w:color w:val="auto"/>
          <w:sz w:val="32"/>
          <w:szCs w:val="32"/>
        </w:rPr>
        <w:t>给予奖补。（</w:t>
      </w:r>
      <w:r>
        <w:rPr>
          <w:rFonts w:hint="eastAsia" w:ascii="楷体_GB2312" w:hAnsi="楷体_GB2312" w:eastAsia="楷体_GB2312" w:cs="楷体_GB2312"/>
          <w:color w:val="auto"/>
          <w:sz w:val="32"/>
          <w:szCs w:val="32"/>
        </w:rPr>
        <w:t>区财政金融局牵头，区经济发展局、区农业发展服务中心配合</w:t>
      </w:r>
      <w:r>
        <w:rPr>
          <w:rFonts w:hint="eastAsia" w:ascii="Times New Roman" w:hAnsi="Times New Roman" w:eastAsia="仿宋_GB2312" w:cs="Segoe UI"/>
          <w:color w:val="auto"/>
          <w:sz w:val="32"/>
          <w:szCs w:val="32"/>
        </w:rPr>
        <w:t>）</w:t>
      </w:r>
    </w:p>
    <w:p>
      <w:pPr>
        <w:pStyle w:val="4"/>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（十五）创新要素保障。</w:t>
      </w:r>
      <w:r>
        <w:rPr>
          <w:rFonts w:hint="eastAsia" w:ascii="Times New Roman" w:hAnsi="Times New Roman" w:eastAsia="仿宋_GB2312"/>
          <w:color w:val="auto"/>
          <w:sz w:val="32"/>
          <w:szCs w:val="32"/>
        </w:rPr>
        <w:t>按规定将预制菜产业项目纳入市重点项目清单，坚持“土地要素跟着项目走”机制，对符合用地报批条件的预制菜项目，积极保障其用地需求。</w:t>
      </w:r>
      <w:r>
        <w:rPr>
          <w:rFonts w:hint="eastAsia" w:ascii="Times New Roman" w:hAnsi="Times New Roman" w:eastAsia="仿宋_GB2312" w:cs="Segoe UI"/>
          <w:color w:val="auto"/>
          <w:sz w:val="32"/>
          <w:szCs w:val="32"/>
        </w:rPr>
        <w:t>落实农产品加工、冷链储运、销售等税费优惠政策，支持预制菜企业发展。建立预制菜产业项目库，优化金融服务机制，量身定制预制菜产业金融支持方案。支持银行机构开发金融产品，加大对预制菜行业企业的信贷资源投入。鼓励保险机构针对预制菜产业开发专项保险产品，提升企业抗风险能力。（</w:t>
      </w:r>
      <w:r>
        <w:rPr>
          <w:rFonts w:hint="eastAsia" w:ascii="楷体_GB2312" w:hAnsi="楷体_GB2312" w:eastAsia="楷体_GB2312" w:cs="楷体_GB2312"/>
          <w:color w:val="auto"/>
          <w:sz w:val="32"/>
          <w:szCs w:val="32"/>
        </w:rPr>
        <w:t>区经济发展局、区财政金融局、区税务局、自然资源和规划高区管理办公室、区农业发展服务中心按职责分工负责</w:t>
      </w:r>
      <w:r>
        <w:rPr>
          <w:rFonts w:hint="eastAsia" w:ascii="Times New Roman" w:hAnsi="Times New Roman" w:eastAsia="仿宋_GB2312" w:cs="Segoe UI"/>
          <w:color w:val="auto"/>
          <w:sz w:val="32"/>
          <w:szCs w:val="32"/>
        </w:rPr>
        <w:t>）</w:t>
      </w:r>
    </w:p>
    <w:p>
      <w:pPr>
        <w:pStyle w:val="10"/>
        <w:keepNext w:val="0"/>
        <w:keepLines w:val="0"/>
        <w:pageBreakBefore w:val="0"/>
        <w:widowControl w:val="0"/>
        <w:kinsoku/>
        <w:wordWrap/>
        <w:overflowPunct/>
        <w:topLinePunct w:val="0"/>
        <w:autoSpaceDE/>
        <w:autoSpaceDN/>
        <w:bidi w:val="0"/>
        <w:spacing w:before="0" w:beforeAutospacing="0" w:after="0" w:afterAutospacing="0" w:line="578" w:lineRule="exact"/>
        <w:ind w:firstLine="640" w:firstLineChars="200"/>
        <w:textAlignment w:val="auto"/>
        <w:rPr>
          <w:rFonts w:ascii="Times New Roman" w:hAnsi="Times New Roman" w:eastAsia="仿宋_GB2312" w:cs="Segoe UI"/>
          <w:color w:val="auto"/>
          <w:sz w:val="32"/>
          <w:szCs w:val="32"/>
        </w:rPr>
      </w:pPr>
      <w:r>
        <w:rPr>
          <w:rFonts w:hint="eastAsia" w:ascii="楷体_GB2312" w:hAnsi="楷体_GB2312" w:eastAsia="楷体_GB2312" w:cs="楷体_GB2312"/>
          <w:color w:val="auto"/>
          <w:sz w:val="32"/>
          <w:szCs w:val="32"/>
        </w:rPr>
        <w:t>（十六）做好宣传引导。</w:t>
      </w:r>
      <w:r>
        <w:rPr>
          <w:rFonts w:hint="eastAsia" w:ascii="Times New Roman" w:hAnsi="Times New Roman" w:eastAsia="仿宋_GB2312" w:cs="Segoe UI"/>
          <w:color w:val="auto"/>
          <w:sz w:val="32"/>
          <w:szCs w:val="32"/>
        </w:rPr>
        <w:t>大力开展品牌宣传，挖掘区域文化、本地特色、经典产品，讲好企业品牌故事，依托新闻媒体、网络平台，推动预制菜品牌传播及形象塑造。加大预制菜科普教育，通过群众进企业、产品进社区、知识进课堂等形式，倡导预制菜餐饮新风尚。及时总结预制菜产业发展的经验做法，宣传推广典型模式，营造预制菜产业发展的良好社会环境。（</w:t>
      </w:r>
      <w:r>
        <w:rPr>
          <w:rFonts w:hint="eastAsia" w:ascii="楷体_GB2312" w:hAnsi="楷体_GB2312" w:eastAsia="楷体_GB2312" w:cs="楷体_GB2312"/>
          <w:color w:val="auto"/>
          <w:sz w:val="32"/>
          <w:szCs w:val="32"/>
        </w:rPr>
        <w:t>区农业发展服务中心牵头，区党政办公室、</w:t>
      </w:r>
      <w:r>
        <w:rPr>
          <w:rFonts w:hint="eastAsia" w:ascii="楷体_GB2312" w:hAnsi="楷体_GB2312" w:eastAsia="楷体_GB2312" w:cs="楷体_GB2312"/>
          <w:color w:val="auto"/>
          <w:sz w:val="32"/>
          <w:szCs w:val="32"/>
          <w:lang w:eastAsia="zh-CN"/>
        </w:rPr>
        <w:t>区</w:t>
      </w:r>
      <w:r>
        <w:rPr>
          <w:rFonts w:hint="eastAsia" w:ascii="楷体_GB2312" w:hAnsi="楷体_GB2312" w:eastAsia="楷体_GB2312" w:cs="楷体_GB2312"/>
          <w:color w:val="auto"/>
          <w:sz w:val="32"/>
          <w:szCs w:val="32"/>
        </w:rPr>
        <w:t>商务局、区市场监督管理局、区社会事业服务中心配合</w:t>
      </w:r>
      <w:r>
        <w:rPr>
          <w:rFonts w:hint="eastAsia" w:ascii="Times New Roman" w:hAnsi="Times New Roman" w:eastAsia="仿宋_GB2312" w:cs="Segoe UI"/>
          <w:color w:val="auto"/>
          <w:sz w:val="32"/>
          <w:szCs w:val="32"/>
        </w:rPr>
        <w:t>）</w:t>
      </w: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威海火炬高技术产业开发区</w:t>
      </w:r>
      <w:r>
        <w:rPr>
          <w:rFonts w:hint="eastAsia" w:ascii="Times New Roman" w:hAnsi="Times New Roman" w:eastAsia="仿宋_GB2312" w:cs="仿宋_GB2312"/>
          <w:color w:val="auto"/>
          <w:sz w:val="32"/>
          <w:szCs w:val="32"/>
          <w:lang w:eastAsia="zh-CN"/>
        </w:rPr>
        <w:t>党政</w:t>
      </w:r>
      <w:r>
        <w:rPr>
          <w:rFonts w:hint="eastAsia" w:ascii="Times New Roman" w:hAnsi="Times New Roman" w:eastAsia="仿宋_GB2312" w:cs="仿宋_GB2312"/>
          <w:color w:val="auto"/>
          <w:sz w:val="32"/>
          <w:szCs w:val="32"/>
        </w:rPr>
        <w:t xml:space="preserve">办公室 </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ascii="Times New Roman" w:hAnsi="Times New Roman" w:eastAsia="仿宋_GB2312" w:cs="仿宋_GB2312"/>
          <w:color w:val="auto"/>
          <w:sz w:val="32"/>
          <w:szCs w:val="32"/>
        </w:rPr>
      </w:pPr>
      <w:r>
        <w:rPr>
          <w:rFonts w:ascii="Times New Roman" w:hAnsi="Times New Roman" w:eastAsia="仿宋_GB2312"/>
          <w:color w:val="auto"/>
          <w:sz w:val="32"/>
          <w:szCs w:val="32"/>
        </w:rPr>
        <w:t>20</w:t>
      </w:r>
      <w:r>
        <w:rPr>
          <w:rFonts w:hint="eastAsia" w:ascii="Times New Roman" w:hAnsi="Times New Roman" w:eastAsia="仿宋_GB2312"/>
          <w:color w:val="auto"/>
          <w:sz w:val="32"/>
          <w:szCs w:val="32"/>
          <w:lang w:val="en-US" w:eastAsia="zh-CN"/>
        </w:rPr>
        <w:t>23</w:t>
      </w:r>
      <w:r>
        <w:rPr>
          <w:rFonts w:hint="eastAsia" w:ascii="Times New Roman" w:hAnsi="Times New Roman" w:eastAsia="仿宋_GB2312" w:cs="仿宋_GB2312"/>
          <w:color w:val="auto"/>
          <w:sz w:val="32"/>
          <w:szCs w:val="32"/>
        </w:rPr>
        <w:t>年</w:t>
      </w:r>
      <w:r>
        <w:rPr>
          <w:rFonts w:hint="eastAsia" w:ascii="Times New Roman" w:hAnsi="Times New Roman" w:eastAsia="仿宋_GB2312" w:cs="仿宋_GB2312"/>
          <w:color w:val="auto"/>
          <w:sz w:val="32"/>
          <w:szCs w:val="32"/>
          <w:lang w:val="en-US" w:eastAsia="zh-CN"/>
        </w:rPr>
        <w:t>1</w:t>
      </w:r>
      <w:r>
        <w:rPr>
          <w:rFonts w:hint="eastAsia" w:ascii="Times New Roman" w:hAnsi="Times New Roman" w:eastAsia="仿宋_GB2312" w:cs="仿宋_GB2312"/>
          <w:color w:val="auto"/>
          <w:sz w:val="32"/>
          <w:szCs w:val="32"/>
        </w:rPr>
        <w:t>月</w:t>
      </w:r>
      <w:r>
        <w:rPr>
          <w:rFonts w:hint="eastAsia" w:ascii="Times New Roman" w:hAnsi="Times New Roman" w:eastAsia="仿宋_GB2312" w:cs="仿宋_GB2312"/>
          <w:color w:val="auto"/>
          <w:sz w:val="32"/>
          <w:szCs w:val="32"/>
          <w:lang w:val="en-US" w:eastAsia="zh-CN"/>
        </w:rPr>
        <w:t>1</w:t>
      </w:r>
      <w:r>
        <w:rPr>
          <w:rFonts w:hint="eastAsia" w:eastAsia="仿宋_GB2312" w:cs="仿宋_GB2312"/>
          <w:color w:val="auto"/>
          <w:sz w:val="32"/>
          <w:szCs w:val="32"/>
          <w:lang w:val="en-US" w:eastAsia="zh-CN"/>
        </w:rPr>
        <w:t>9</w:t>
      </w:r>
      <w:r>
        <w:rPr>
          <w:rFonts w:hint="eastAsia" w:ascii="Times New Roman" w:hAnsi="Times New Roman" w:eastAsia="仿宋_GB2312" w:cs="仿宋_GB2312"/>
          <w:color w:val="auto"/>
          <w:sz w:val="32"/>
          <w:szCs w:val="32"/>
        </w:rPr>
        <w:t>日</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Times New Roman" w:hAnsi="Times New Roman" w:eastAsia="仿宋_GB2312"/>
          <w:color w:val="auto"/>
          <w:sz w:val="32"/>
          <w:szCs w:val="32"/>
          <w:lang w:eastAsia="zh-CN"/>
        </w:rPr>
      </w:pPr>
      <w:r>
        <w:rPr>
          <w:rFonts w:hint="eastAsia" w:eastAsia="仿宋_GB2312"/>
          <w:color w:val="auto"/>
          <w:sz w:val="32"/>
          <w:szCs w:val="32"/>
          <w:lang w:eastAsia="zh-CN"/>
        </w:rPr>
        <w:t>（此件公开发布）</w:t>
      </w:r>
    </w:p>
    <w:p>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color w:val="auto"/>
          <w:sz w:val="32"/>
        </w:rPr>
      </w:pPr>
    </w:p>
    <w:p>
      <w:pPr>
        <w:rPr>
          <w:rFonts w:ascii="Times New Roman" w:hAnsi="Times New Roman"/>
          <w:sz w:val="28"/>
          <w:szCs w:val="28"/>
        </w:rPr>
      </w:pP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0000600000000000000"/>
    <w:charset w:val="86"/>
    <w:family w:val="script"/>
    <w:pitch w:val="default"/>
    <w:sig w:usb0="800002BF" w:usb1="184F6CF8" w:usb2="00000012" w:usb3="00000000" w:csb0="00160001" w:csb1="12030000"/>
  </w:font>
  <w:font w:name="楷体_GB2312">
    <w:panose1 w:val="02010609030101010101"/>
    <w:charset w:val="86"/>
    <w:family w:val="modern"/>
    <w:pitch w:val="default"/>
    <w:sig w:usb0="00000001" w:usb1="080E0000" w:usb2="00000000" w:usb3="00000000" w:csb0="00040000" w:csb1="00000000"/>
  </w:font>
  <w:font w:name="Segoe UI">
    <w:altName w:val="Noto Music"/>
    <w:panose1 w:val="020B0502040204020203"/>
    <w:charset w:val="00"/>
    <w:family w:val="swiss"/>
    <w:pitch w:val="default"/>
    <w:sig w:usb0="00000000" w:usb1="00000000" w:usb2="00000029" w:usb3="00000000" w:csb0="000001D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38832EBE"/>
    <w:rsid w:val="3B196174"/>
    <w:rsid w:val="439E7D49"/>
    <w:rsid w:val="43B70C69"/>
    <w:rsid w:val="4EDFB418"/>
    <w:rsid w:val="662F2FE3"/>
    <w:rsid w:val="6B57466E"/>
    <w:rsid w:val="6FFD3DB1"/>
    <w:rsid w:val="7C9C7D6B"/>
    <w:rsid w:val="7D879FC5"/>
    <w:rsid w:val="9FAD9FD5"/>
    <w:rsid w:val="AFFCBA3A"/>
    <w:rsid w:val="DBF2A3F6"/>
    <w:rsid w:val="F7FE35A6"/>
    <w:rsid w:val="FEE7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8">
    <w:name w:val="页脚 Char"/>
    <w:basedOn w:val="6"/>
    <w:link w:val="2"/>
    <w:qFormat/>
    <w:uiPriority w:val="99"/>
    <w:rPr>
      <w:rFonts w:ascii="Times New Roman" w:hAnsi="Times New Roman" w:eastAsia="宋体" w:cs="Times New Roman"/>
      <w:sz w:val="18"/>
      <w:szCs w:val="18"/>
    </w:rPr>
  </w:style>
  <w:style w:type="character" w:customStyle="1" w:styleId="9">
    <w:name w:val="页眉 Char"/>
    <w:basedOn w:val="6"/>
    <w:link w:val="3"/>
    <w:qFormat/>
    <w:uiPriority w:val="99"/>
    <w:rPr>
      <w:rFonts w:ascii="Times New Roman" w:hAnsi="Times New Roman" w:eastAsia="宋体" w:cs="Times New Roman"/>
      <w:sz w:val="18"/>
      <w:szCs w:val="18"/>
    </w:rPr>
  </w:style>
  <w:style w:type="paragraph" w:customStyle="1" w:styleId="10">
    <w:name w:val="one-p"/>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2</TotalTime>
  <ScaleCrop>false</ScaleCrop>
  <LinksUpToDate>false</LinksUpToDate>
  <CharactersWithSpaces>155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2019-02-22T12:00:00Z</dcterms:created>
  <dc:creator>CN=黄伟/O=wh.torch</dc:creator>
  <cp:lastModifiedBy>user</cp:lastModifiedBy>
  <cp:lastPrinted>2023-01-20T01:18:00Z</cp:lastPrinted>
  <dcterms:modified xsi:type="dcterms:W3CDTF">2023-04-21T08:51:19Z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