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1" w:lineRule="auto"/>
        <w:jc w:val="center"/>
        <w:outlineLvl w:val="0"/>
        <w:rPr>
          <w:sz w:val="28"/>
          <w:szCs w:val="28"/>
        </w:rPr>
      </w:pPr>
      <w:r>
        <w:rPr>
          <w:sz w:val="28"/>
          <w:szCs w:val="28"/>
          <w14:textOutline w14:w="5092" w14:cap="sq" w14:cmpd="sng">
            <w14:solidFill>
              <w14:srgbClr w14:val="000000"/>
            </w14:solidFill>
            <w14:prstDash w14:val="solid"/>
            <w14:bevel/>
          </w14:textOutline>
        </w:rPr>
        <w:t>威海</w:t>
      </w:r>
      <w:r>
        <w:rPr>
          <w:rFonts w:hint="eastAsia"/>
          <w:sz w:val="28"/>
          <w:szCs w:val="28"/>
          <w:lang w:eastAsia="zh-CN"/>
          <w14:textOutline w14:w="5092" w14:cap="sq" w14:cmpd="sng">
            <w14:solidFill>
              <w14:srgbClr w14:val="000000"/>
            </w14:solidFill>
            <w14:prstDash w14:val="solid"/>
            <w14:bevel/>
          </w14:textOutline>
        </w:rPr>
        <w:t>火炬高技术产业开发区</w:t>
      </w:r>
      <w:r>
        <w:rPr>
          <w:sz w:val="28"/>
          <w:szCs w:val="28"/>
          <w14:textOutline w14:w="5092" w14:cap="sq" w14:cmpd="sng">
            <w14:solidFill>
              <w14:srgbClr w14:val="000000"/>
            </w14:solidFill>
            <w14:prstDash w14:val="solid"/>
            <w14:bevel/>
          </w14:textOutline>
        </w:rPr>
        <w:t>水泥产品质量监督抽查实施细则</w:t>
      </w:r>
    </w:p>
    <w:p>
      <w:pPr>
        <w:pStyle w:val="2"/>
        <w:spacing w:before="279" w:line="220" w:lineRule="auto"/>
        <w:ind w:left="3305"/>
        <w:rPr>
          <w:sz w:val="28"/>
          <w:szCs w:val="28"/>
        </w:rPr>
      </w:pPr>
      <w:r>
        <w:rPr>
          <w:spacing w:val="-6"/>
          <w:sz w:val="28"/>
          <w:szCs w:val="28"/>
          <w14:textOutline w14:w="5092" w14:cap="sq" w14:cmpd="sng">
            <w14:solidFill>
              <w14:srgbClr w14:val="000000"/>
            </w14:solidFill>
            <w14:prstDash w14:val="solid"/>
            <w14:bevel/>
          </w14:textOutline>
        </w:rPr>
        <w:t>（2024</w:t>
      </w:r>
      <w:r>
        <w:rPr>
          <w:spacing w:val="-48"/>
          <w:sz w:val="28"/>
          <w:szCs w:val="28"/>
        </w:rPr>
        <w:t xml:space="preserve"> </w:t>
      </w:r>
      <w:r>
        <w:rPr>
          <w:spacing w:val="-6"/>
          <w:sz w:val="28"/>
          <w:szCs w:val="28"/>
          <w14:textOutline w14:w="5092" w14:cap="sq" w14:cmpd="sng">
            <w14:solidFill>
              <w14:srgbClr w14:val="000000"/>
            </w14:solidFill>
            <w14:prstDash w14:val="solid"/>
            <w14:bevel/>
          </w14:textOutline>
        </w:rPr>
        <w:t>年版）</w:t>
      </w:r>
    </w:p>
    <w:p>
      <w:pPr>
        <w:pStyle w:val="2"/>
        <w:spacing w:before="25" w:line="228" w:lineRule="auto"/>
        <w:ind w:left="37"/>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163" w:line="228" w:lineRule="auto"/>
        <w:ind w:left="37"/>
      </w:pPr>
      <w:r>
        <w:rPr>
          <w:spacing w:val="2"/>
        </w:rPr>
        <w:t>1.1</w:t>
      </w:r>
      <w:r>
        <w:rPr>
          <w:spacing w:val="-36"/>
        </w:rPr>
        <w:t xml:space="preserve"> </w:t>
      </w:r>
      <w:r>
        <w:rPr>
          <w:spacing w:val="2"/>
        </w:rPr>
        <w:t>抽样方法：</w:t>
      </w:r>
    </w:p>
    <w:p>
      <w:pPr>
        <w:pStyle w:val="2"/>
        <w:spacing w:before="147" w:line="396" w:lineRule="exact"/>
        <w:ind w:left="465"/>
      </w:pPr>
      <w:r>
        <w:rPr>
          <w:spacing w:val="8"/>
          <w:position w:val="14"/>
        </w:rPr>
        <w:t>以随机抽样的方式在水泥</w:t>
      </w:r>
      <w:bookmarkStart w:id="0" w:name="_GoBack"/>
      <w:bookmarkEnd w:id="0"/>
      <w:r>
        <w:rPr>
          <w:spacing w:val="8"/>
          <w:position w:val="14"/>
        </w:rPr>
        <w:t>销售者的待销产品中抽取。</w:t>
      </w:r>
    </w:p>
    <w:p>
      <w:pPr>
        <w:pStyle w:val="2"/>
        <w:spacing w:line="226" w:lineRule="auto"/>
        <w:ind w:left="453"/>
      </w:pPr>
      <w:r>
        <w:rPr>
          <w:spacing w:val="8"/>
        </w:rPr>
        <w:t>随机数一般可使用随机数表等方法产生。</w:t>
      </w:r>
    </w:p>
    <w:p>
      <w:pPr>
        <w:pStyle w:val="2"/>
        <w:spacing w:before="147" w:line="228" w:lineRule="auto"/>
        <w:ind w:left="441"/>
      </w:pPr>
      <w:r>
        <w:rPr>
          <w:spacing w:val="9"/>
        </w:rPr>
        <w:t>抽取样品应为同一批次、同一品种和强度等级的水泥产品。</w:t>
      </w:r>
    </w:p>
    <w:p>
      <w:pPr>
        <w:pStyle w:val="2"/>
        <w:spacing w:before="149" w:line="377" w:lineRule="auto"/>
        <w:ind w:left="21" w:right="54" w:firstLine="420"/>
      </w:pPr>
      <w:r>
        <w:rPr>
          <w:spacing w:val="7"/>
        </w:rPr>
        <w:t>在生产者处抽取样品时，应在水泥仓库或水泥包装线末端中随机抽取。在从袋装水泥中</w:t>
      </w:r>
      <w:r>
        <w:rPr>
          <w:spacing w:val="9"/>
        </w:rPr>
        <w:t xml:space="preserve"> </w:t>
      </w:r>
      <w:r>
        <w:rPr>
          <w:spacing w:val="8"/>
        </w:rPr>
        <w:t>抽取时，</w:t>
      </w:r>
      <w:r>
        <w:rPr>
          <w:spacing w:val="-50"/>
        </w:rPr>
        <w:t xml:space="preserve"> </w:t>
      </w:r>
      <w:r>
        <w:rPr>
          <w:spacing w:val="8"/>
        </w:rPr>
        <w:t>以多点取样的方式取样，取样点不少于</w:t>
      </w:r>
      <w:r>
        <w:rPr>
          <w:spacing w:val="-34"/>
        </w:rPr>
        <w:t xml:space="preserve"> </w:t>
      </w:r>
      <w:r>
        <w:rPr>
          <w:spacing w:val="8"/>
        </w:rPr>
        <w:t>20</w:t>
      </w:r>
      <w:r>
        <w:rPr>
          <w:spacing w:val="-41"/>
        </w:rPr>
        <w:t xml:space="preserve"> </w:t>
      </w:r>
      <w:r>
        <w:rPr>
          <w:spacing w:val="8"/>
        </w:rPr>
        <w:t>个，每个点取等量样品；在从散装水泥</w:t>
      </w:r>
    </w:p>
    <w:p>
      <w:pPr>
        <w:pStyle w:val="2"/>
        <w:spacing w:before="1" w:line="226" w:lineRule="auto"/>
        <w:ind w:left="41"/>
      </w:pPr>
      <w:r>
        <w:rPr>
          <w:spacing w:val="8"/>
        </w:rPr>
        <w:t>中抽取时，在散装库卸料处或水泥运输机上取样。</w:t>
      </w:r>
    </w:p>
    <w:p>
      <w:pPr>
        <w:pStyle w:val="2"/>
        <w:spacing w:before="164" w:line="408" w:lineRule="exact"/>
        <w:jc w:val="right"/>
      </w:pPr>
      <w:r>
        <w:rPr>
          <w:spacing w:val="2"/>
          <w:position w:val="15"/>
        </w:rPr>
        <w:t>在销售者的待销产品中取样时，随机从现场抽取</w:t>
      </w:r>
      <w:r>
        <w:rPr>
          <w:spacing w:val="-10"/>
          <w:position w:val="15"/>
        </w:rPr>
        <w:t xml:space="preserve"> </w:t>
      </w:r>
      <w:r>
        <w:rPr>
          <w:spacing w:val="2"/>
          <w:position w:val="15"/>
        </w:rPr>
        <w:t>1-2</w:t>
      </w:r>
      <w:r>
        <w:rPr>
          <w:spacing w:val="-40"/>
          <w:position w:val="15"/>
        </w:rPr>
        <w:t xml:space="preserve"> </w:t>
      </w:r>
      <w:r>
        <w:rPr>
          <w:spacing w:val="2"/>
          <w:position w:val="15"/>
        </w:rPr>
        <w:t>袋水泥，采取多点取样的方式取样，</w:t>
      </w:r>
    </w:p>
    <w:p>
      <w:pPr>
        <w:pStyle w:val="2"/>
        <w:spacing w:before="1" w:line="227" w:lineRule="auto"/>
        <w:ind w:left="24"/>
      </w:pPr>
      <w:r>
        <w:rPr>
          <w:spacing w:val="6"/>
        </w:rPr>
        <w:t>取样点不少于</w:t>
      </w:r>
      <w:r>
        <w:rPr>
          <w:spacing w:val="-19"/>
        </w:rPr>
        <w:t xml:space="preserve"> </w:t>
      </w:r>
      <w:r>
        <w:rPr>
          <w:spacing w:val="6"/>
        </w:rPr>
        <w:t>20</w:t>
      </w:r>
      <w:r>
        <w:rPr>
          <w:spacing w:val="-40"/>
        </w:rPr>
        <w:t xml:space="preserve"> </w:t>
      </w:r>
      <w:r>
        <w:rPr>
          <w:spacing w:val="6"/>
        </w:rPr>
        <w:t>个，每个点取等量样品，样品量不少于</w:t>
      </w:r>
      <w:r>
        <w:rPr>
          <w:spacing w:val="-24"/>
        </w:rPr>
        <w:t xml:space="preserve"> </w:t>
      </w:r>
      <w:r>
        <w:rPr>
          <w:spacing w:val="6"/>
        </w:rPr>
        <w:t>16</w:t>
      </w:r>
      <w:r>
        <w:rPr>
          <w:spacing w:val="-31"/>
        </w:rPr>
        <w:t xml:space="preserve"> </w:t>
      </w:r>
      <w:r>
        <w:rPr>
          <w:spacing w:val="6"/>
        </w:rPr>
        <w:t>公斤。</w:t>
      </w:r>
    </w:p>
    <w:p>
      <w:pPr>
        <w:pStyle w:val="2"/>
        <w:spacing w:before="161" w:line="228" w:lineRule="auto"/>
        <w:ind w:left="37"/>
      </w:pPr>
      <w:r>
        <w:rPr>
          <w:spacing w:val="3"/>
        </w:rPr>
        <w:t>1.2</w:t>
      </w:r>
      <w:r>
        <w:rPr>
          <w:spacing w:val="-41"/>
        </w:rPr>
        <w:t xml:space="preserve"> </w:t>
      </w:r>
      <w:r>
        <w:rPr>
          <w:spacing w:val="3"/>
        </w:rPr>
        <w:t>抽样基数</w:t>
      </w:r>
    </w:p>
    <w:p>
      <w:pPr>
        <w:pStyle w:val="2"/>
        <w:spacing w:before="150" w:line="408" w:lineRule="exact"/>
        <w:ind w:left="441"/>
      </w:pPr>
      <w:r>
        <w:rPr>
          <w:spacing w:val="8"/>
          <w:position w:val="15"/>
        </w:rPr>
        <w:t>抽样基数满足抽样数量即可。</w:t>
      </w:r>
    </w:p>
    <w:p>
      <w:pPr>
        <w:pStyle w:val="2"/>
        <w:spacing w:line="227" w:lineRule="auto"/>
        <w:ind w:left="37"/>
      </w:pPr>
      <w:r>
        <w:rPr>
          <w:spacing w:val="3"/>
        </w:rPr>
        <w:t>1.3</w:t>
      </w:r>
      <w:r>
        <w:rPr>
          <w:spacing w:val="-41"/>
        </w:rPr>
        <w:t xml:space="preserve"> </w:t>
      </w:r>
      <w:r>
        <w:rPr>
          <w:spacing w:val="3"/>
        </w:rPr>
        <w:t>抽样范围</w:t>
      </w:r>
    </w:p>
    <w:p>
      <w:pPr>
        <w:pStyle w:val="2"/>
        <w:spacing w:before="162" w:line="408" w:lineRule="exact"/>
        <w:ind w:left="441"/>
      </w:pPr>
      <w:r>
        <w:rPr>
          <w:spacing w:val="9"/>
          <w:position w:val="15"/>
        </w:rPr>
        <w:t>抽查产品种类包括通用硅酸盐水泥产品。</w:t>
      </w:r>
    </w:p>
    <w:p>
      <w:pPr>
        <w:pStyle w:val="2"/>
        <w:spacing w:line="227" w:lineRule="auto"/>
        <w:ind w:left="37"/>
      </w:pPr>
      <w:r>
        <w:rPr>
          <w:spacing w:val="3"/>
        </w:rPr>
        <w:t>1.4</w:t>
      </w:r>
      <w:r>
        <w:rPr>
          <w:spacing w:val="-41"/>
        </w:rPr>
        <w:t xml:space="preserve"> </w:t>
      </w:r>
      <w:r>
        <w:rPr>
          <w:spacing w:val="3"/>
        </w:rPr>
        <w:t>抽样数量</w:t>
      </w:r>
    </w:p>
    <w:p>
      <w:pPr>
        <w:pStyle w:val="2"/>
        <w:spacing w:before="162" w:line="408" w:lineRule="exact"/>
        <w:ind w:left="442"/>
      </w:pPr>
      <w:r>
        <w:rPr>
          <w:spacing w:val="8"/>
          <w:position w:val="15"/>
        </w:rPr>
        <w:t>每批次抽取的样品数量不得少于</w:t>
      </w:r>
      <w:r>
        <w:rPr>
          <w:spacing w:val="-20"/>
          <w:position w:val="15"/>
        </w:rPr>
        <w:t xml:space="preserve"> </w:t>
      </w:r>
      <w:r>
        <w:rPr>
          <w:spacing w:val="8"/>
          <w:position w:val="15"/>
        </w:rPr>
        <w:t>16</w:t>
      </w:r>
      <w:r>
        <w:rPr>
          <w:position w:val="15"/>
        </w:rPr>
        <w:t>kg</w:t>
      </w:r>
      <w:r>
        <w:rPr>
          <w:spacing w:val="8"/>
          <w:position w:val="15"/>
        </w:rPr>
        <w:t>，将样品通过</w:t>
      </w:r>
      <w:r>
        <w:rPr>
          <w:spacing w:val="-36"/>
          <w:position w:val="15"/>
        </w:rPr>
        <w:t xml:space="preserve"> </w:t>
      </w:r>
      <w:r>
        <w:rPr>
          <w:spacing w:val="8"/>
          <w:position w:val="15"/>
        </w:rPr>
        <w:t>0.9</w:t>
      </w:r>
      <w:r>
        <w:rPr>
          <w:position w:val="15"/>
        </w:rPr>
        <w:t>mm</w:t>
      </w:r>
      <w:r>
        <w:rPr>
          <w:spacing w:val="-39"/>
          <w:position w:val="15"/>
        </w:rPr>
        <w:t xml:space="preserve"> </w:t>
      </w:r>
      <w:r>
        <w:rPr>
          <w:spacing w:val="8"/>
          <w:position w:val="15"/>
        </w:rPr>
        <w:t>方孔筛后混匀均分为两份，</w:t>
      </w:r>
    </w:p>
    <w:p>
      <w:pPr>
        <w:pStyle w:val="2"/>
        <w:spacing w:before="1" w:line="221" w:lineRule="auto"/>
        <w:ind w:left="22"/>
      </w:pPr>
      <w:r>
        <w:rPr>
          <w:spacing w:val="9"/>
        </w:rPr>
        <w:t>每份至少</w:t>
      </w:r>
      <w:r>
        <w:rPr>
          <w:spacing w:val="-36"/>
        </w:rPr>
        <w:t xml:space="preserve"> </w:t>
      </w:r>
      <w:r>
        <w:rPr>
          <w:spacing w:val="9"/>
        </w:rPr>
        <w:t>8</w:t>
      </w:r>
      <w:r>
        <w:t>kg</w:t>
      </w:r>
      <w:r>
        <w:rPr>
          <w:spacing w:val="9"/>
        </w:rPr>
        <w:t>，其中一份为检验样品，另一份为备用</w:t>
      </w:r>
      <w:r>
        <w:rPr>
          <w:spacing w:val="8"/>
        </w:rPr>
        <w:t>样品。</w:t>
      </w:r>
    </w:p>
    <w:p>
      <w:pPr>
        <w:pStyle w:val="2"/>
        <w:spacing w:before="169" w:line="228" w:lineRule="auto"/>
        <w:ind w:left="24"/>
      </w:pP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检验项目及检测方法</w:t>
      </w:r>
    </w:p>
    <w:p>
      <w:pPr>
        <w:pStyle w:val="2"/>
        <w:spacing w:before="161" w:line="228" w:lineRule="auto"/>
        <w:ind w:left="2015"/>
      </w:pPr>
      <w:r>
        <w:rPr>
          <w:spacing w:val="7"/>
          <w14:textOutline w14:w="3797" w14:cap="sq" w14:cmpd="sng">
            <w14:solidFill>
              <w14:srgbClr w14:val="000000"/>
            </w14:solidFill>
            <w14:prstDash w14:val="solid"/>
            <w14:bevel/>
          </w14:textOutline>
        </w:rPr>
        <w:t>表</w:t>
      </w:r>
      <w:r>
        <w:rPr>
          <w:spacing w:val="-10"/>
        </w:rPr>
        <w:t xml:space="preserve"> </w:t>
      </w:r>
      <w:r>
        <w:rPr>
          <w:spacing w:val="7"/>
          <w14:textOutline w14:w="3797" w14:cap="sq" w14:cmpd="sng">
            <w14:solidFill>
              <w14:srgbClr w14:val="000000"/>
            </w14:solidFill>
            <w14:prstDash w14:val="solid"/>
            <w14:bevel/>
          </w14:textOutline>
        </w:rPr>
        <w:t>1-1</w:t>
      </w:r>
      <w:r>
        <w:rPr>
          <w:spacing w:val="7"/>
        </w:rPr>
        <w:t xml:space="preserve"> </w:t>
      </w:r>
      <w:r>
        <w:rPr>
          <w:spacing w:val="7"/>
          <w14:textOutline w14:w="3797" w14:cap="sq" w14:cmpd="sng">
            <w14:solidFill>
              <w14:srgbClr w14:val="000000"/>
            </w14:solidFill>
            <w14:prstDash w14:val="solid"/>
            <w14:bevel/>
          </w14:textOutline>
        </w:rPr>
        <w:t>通用硅酸盐水泥产品检验项目</w:t>
      </w:r>
    </w:p>
    <w:p>
      <w:pPr>
        <w:spacing w:line="131" w:lineRule="exact"/>
      </w:pPr>
    </w:p>
    <w:tbl>
      <w:tblPr>
        <w:tblStyle w:val="5"/>
        <w:tblW w:w="7144" w:type="dxa"/>
        <w:tblInd w:w="59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0"/>
        <w:gridCol w:w="2975"/>
        <w:gridCol w:w="297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55" w:hRule="atLeast"/>
        </w:trPr>
        <w:tc>
          <w:tcPr>
            <w:tcW w:w="1190" w:type="dxa"/>
            <w:vAlign w:val="top"/>
          </w:tcPr>
          <w:p>
            <w:pPr>
              <w:spacing w:line="306" w:lineRule="auto"/>
              <w:rPr>
                <w:rFonts w:ascii="Arial"/>
                <w:sz w:val="21"/>
              </w:rPr>
            </w:pPr>
          </w:p>
          <w:p>
            <w:pPr>
              <w:pStyle w:val="6"/>
              <w:spacing w:before="65" w:line="229" w:lineRule="auto"/>
              <w:ind w:left="388"/>
            </w:pPr>
            <w:r>
              <w:rPr>
                <w:spacing w:val="5"/>
              </w:rPr>
              <w:t>序号</w:t>
            </w:r>
          </w:p>
        </w:tc>
        <w:tc>
          <w:tcPr>
            <w:tcW w:w="2975" w:type="dxa"/>
            <w:tcBorders>
              <w:bottom w:val="single" w:color="auto" w:sz="4" w:space="0"/>
            </w:tcBorders>
            <w:vAlign w:val="top"/>
          </w:tcPr>
          <w:p>
            <w:pPr>
              <w:spacing w:line="306" w:lineRule="auto"/>
              <w:rPr>
                <w:rFonts w:ascii="Arial"/>
                <w:sz w:val="21"/>
              </w:rPr>
            </w:pPr>
          </w:p>
          <w:p>
            <w:pPr>
              <w:pStyle w:val="6"/>
              <w:spacing w:before="65" w:line="228" w:lineRule="auto"/>
              <w:ind w:left="1071"/>
            </w:pPr>
            <w:r>
              <w:rPr>
                <w:spacing w:val="7"/>
              </w:rPr>
              <w:t>检验项目</w:t>
            </w:r>
          </w:p>
        </w:tc>
        <w:tc>
          <w:tcPr>
            <w:tcW w:w="2979" w:type="dxa"/>
            <w:tcBorders>
              <w:bottom w:val="single" w:color="auto" w:sz="4" w:space="0"/>
            </w:tcBorders>
            <w:vAlign w:val="top"/>
          </w:tcPr>
          <w:p>
            <w:pPr>
              <w:spacing w:line="306" w:lineRule="auto"/>
              <w:rPr>
                <w:rFonts w:ascii="Arial"/>
                <w:sz w:val="21"/>
              </w:rPr>
            </w:pPr>
          </w:p>
          <w:p>
            <w:pPr>
              <w:pStyle w:val="6"/>
              <w:spacing w:before="65" w:line="228" w:lineRule="auto"/>
              <w:ind w:left="1072"/>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190" w:type="dxa"/>
            <w:tcBorders>
              <w:right w:val="single" w:color="auto" w:sz="4" w:space="0"/>
            </w:tcBorders>
            <w:vAlign w:val="top"/>
          </w:tcPr>
          <w:p>
            <w:pPr>
              <w:pStyle w:val="6"/>
              <w:spacing w:before="84" w:line="189" w:lineRule="auto"/>
              <w:ind w:left="563"/>
            </w:pPr>
            <w:r>
              <w:t>1</w:t>
            </w:r>
          </w:p>
        </w:tc>
        <w:tc>
          <w:tcPr>
            <w:tcW w:w="2975" w:type="dxa"/>
            <w:tcBorders>
              <w:top w:val="single" w:color="auto" w:sz="4" w:space="0"/>
              <w:left w:val="single" w:color="auto" w:sz="4" w:space="0"/>
              <w:bottom w:val="single" w:color="auto" w:sz="4" w:space="0"/>
              <w:right w:val="single" w:color="auto" w:sz="4" w:space="0"/>
            </w:tcBorders>
            <w:vAlign w:val="top"/>
          </w:tcPr>
          <w:p>
            <w:pPr>
              <w:pStyle w:val="6"/>
              <w:spacing w:before="52" w:line="229" w:lineRule="auto"/>
              <w:ind w:left="1180"/>
            </w:pPr>
            <w:r>
              <w:rPr>
                <w:spacing w:val="5"/>
              </w:rPr>
              <w:t>不溶物</w:t>
            </w:r>
          </w:p>
        </w:tc>
        <w:tc>
          <w:tcPr>
            <w:tcW w:w="2979" w:type="dxa"/>
            <w:vMerge w:val="restart"/>
            <w:tcBorders>
              <w:top w:val="single" w:color="auto" w:sz="4" w:space="0"/>
              <w:left w:val="single" w:color="auto" w:sz="4" w:space="0"/>
              <w:bottom w:val="single" w:color="auto" w:sz="4" w:space="0"/>
              <w:right w:val="single" w:color="auto" w:sz="4" w:space="0"/>
            </w:tcBorders>
            <w:vAlign w:val="center"/>
          </w:tcPr>
          <w:p>
            <w:pPr>
              <w:pStyle w:val="6"/>
              <w:spacing w:before="65" w:line="233" w:lineRule="auto"/>
              <w:jc w:val="center"/>
            </w:pPr>
            <w:r>
              <w:t>GB</w:t>
            </w:r>
            <w:r>
              <w:rPr>
                <w:spacing w:val="1"/>
              </w:rPr>
              <w:t>/T</w:t>
            </w:r>
            <w:r>
              <w:rPr>
                <w:spacing w:val="29"/>
              </w:rPr>
              <w:t xml:space="preserve"> </w:t>
            </w:r>
            <w:r>
              <w:rPr>
                <w:spacing w:val="1"/>
              </w:rPr>
              <w:t>176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190" w:type="dxa"/>
            <w:vAlign w:val="top"/>
          </w:tcPr>
          <w:p>
            <w:pPr>
              <w:pStyle w:val="6"/>
              <w:spacing w:before="87" w:line="189" w:lineRule="auto"/>
              <w:ind w:left="547"/>
              <w:rPr>
                <w:rFonts w:hint="eastAsia" w:eastAsia="宋体"/>
                <w:lang w:eastAsia="zh-CN"/>
              </w:rPr>
            </w:pPr>
            <w:r>
              <w:rPr>
                <w:rFonts w:hint="eastAsia"/>
                <w:lang w:val="en-US" w:eastAsia="zh-CN"/>
              </w:rPr>
              <w:t>2</w:t>
            </w:r>
          </w:p>
        </w:tc>
        <w:tc>
          <w:tcPr>
            <w:tcW w:w="2975" w:type="dxa"/>
            <w:tcBorders>
              <w:top w:val="single" w:color="auto" w:sz="4" w:space="0"/>
              <w:right w:val="single" w:color="auto" w:sz="4" w:space="0"/>
            </w:tcBorders>
            <w:vAlign w:val="top"/>
          </w:tcPr>
          <w:p>
            <w:pPr>
              <w:pStyle w:val="6"/>
              <w:spacing w:before="55" w:line="228" w:lineRule="auto"/>
              <w:ind w:left="1180"/>
            </w:pPr>
            <w:r>
              <w:rPr>
                <w:spacing w:val="5"/>
              </w:rPr>
              <w:t>氯离子</w:t>
            </w:r>
          </w:p>
        </w:tc>
        <w:tc>
          <w:tcPr>
            <w:tcW w:w="2979" w:type="dxa"/>
            <w:vMerge w:val="continue"/>
            <w:tcBorders>
              <w:top w:val="single" w:color="auto" w:sz="4" w:space="0"/>
              <w:left w:val="single" w:color="auto" w:sz="4" w:space="0"/>
              <w:bottom w:val="single" w:color="auto" w:sz="4" w:space="0"/>
              <w:right w:val="single" w:color="auto" w:sz="4" w:space="0"/>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190" w:type="dxa"/>
            <w:vAlign w:val="top"/>
          </w:tcPr>
          <w:p>
            <w:pPr>
              <w:pStyle w:val="6"/>
              <w:spacing w:before="88" w:line="189" w:lineRule="auto"/>
              <w:ind w:left="549"/>
              <w:rPr>
                <w:rFonts w:hint="eastAsia" w:eastAsia="宋体"/>
                <w:lang w:eastAsia="zh-CN"/>
              </w:rPr>
            </w:pPr>
            <w:r>
              <w:rPr>
                <w:rFonts w:hint="eastAsia"/>
                <w:lang w:val="en-US" w:eastAsia="zh-CN"/>
              </w:rPr>
              <w:t>3</w:t>
            </w:r>
          </w:p>
        </w:tc>
        <w:tc>
          <w:tcPr>
            <w:tcW w:w="2975" w:type="dxa"/>
            <w:tcBorders>
              <w:right w:val="single" w:color="auto" w:sz="4" w:space="0"/>
            </w:tcBorders>
            <w:vAlign w:val="top"/>
          </w:tcPr>
          <w:p>
            <w:pPr>
              <w:pStyle w:val="6"/>
              <w:spacing w:before="55" w:line="229" w:lineRule="auto"/>
              <w:ind w:left="1070"/>
            </w:pPr>
            <w:r>
              <w:rPr>
                <w:spacing w:val="7"/>
              </w:rPr>
              <w:t>凝结时间</w:t>
            </w:r>
          </w:p>
        </w:tc>
        <w:tc>
          <w:tcPr>
            <w:tcW w:w="2979" w:type="dxa"/>
            <w:vMerge w:val="restart"/>
            <w:tcBorders>
              <w:top w:val="single" w:color="auto" w:sz="4" w:space="0"/>
              <w:left w:val="single" w:color="auto" w:sz="4" w:space="0"/>
              <w:bottom w:val="single" w:color="auto" w:sz="4" w:space="0"/>
              <w:right w:val="single" w:color="auto" w:sz="4" w:space="0"/>
            </w:tcBorders>
            <w:vAlign w:val="top"/>
          </w:tcPr>
          <w:p>
            <w:pPr>
              <w:pStyle w:val="6"/>
              <w:spacing w:before="215" w:line="233" w:lineRule="auto"/>
              <w:ind w:left="1019"/>
            </w:pPr>
            <w:r>
              <w:t>GB</w:t>
            </w:r>
            <w:r>
              <w:rPr>
                <w:spacing w:val="1"/>
              </w:rPr>
              <w:t>/T</w:t>
            </w:r>
            <w:r>
              <w:rPr>
                <w:spacing w:val="31"/>
              </w:rPr>
              <w:t xml:space="preserve"> </w:t>
            </w:r>
            <w:r>
              <w:rPr>
                <w:spacing w:val="1"/>
              </w:rPr>
              <w:t>1346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90" w:type="dxa"/>
            <w:vAlign w:val="top"/>
          </w:tcPr>
          <w:p>
            <w:pPr>
              <w:pStyle w:val="6"/>
              <w:spacing w:before="91" w:line="187" w:lineRule="auto"/>
              <w:ind w:left="553"/>
              <w:rPr>
                <w:rFonts w:hint="eastAsia" w:eastAsia="宋体"/>
                <w:lang w:eastAsia="zh-CN"/>
              </w:rPr>
            </w:pPr>
            <w:r>
              <w:rPr>
                <w:rFonts w:hint="eastAsia"/>
                <w:lang w:val="en-US" w:eastAsia="zh-CN"/>
              </w:rPr>
              <w:t>4</w:t>
            </w:r>
          </w:p>
        </w:tc>
        <w:tc>
          <w:tcPr>
            <w:tcW w:w="2975" w:type="dxa"/>
            <w:tcBorders>
              <w:right w:val="single" w:color="auto" w:sz="4" w:space="0"/>
            </w:tcBorders>
            <w:vAlign w:val="top"/>
          </w:tcPr>
          <w:p>
            <w:pPr>
              <w:pStyle w:val="6"/>
              <w:spacing w:before="56" w:line="228" w:lineRule="auto"/>
              <w:ind w:left="1181"/>
            </w:pPr>
            <w:r>
              <w:rPr>
                <w:spacing w:val="5"/>
              </w:rPr>
              <w:t>安定性</w:t>
            </w:r>
          </w:p>
        </w:tc>
        <w:tc>
          <w:tcPr>
            <w:tcW w:w="2979" w:type="dxa"/>
            <w:vMerge w:val="continue"/>
            <w:tcBorders>
              <w:top w:val="single" w:color="auto" w:sz="4" w:space="0"/>
              <w:left w:val="single" w:color="auto" w:sz="4" w:space="0"/>
              <w:bottom w:val="single" w:color="auto" w:sz="4" w:space="0"/>
              <w:right w:val="single" w:color="auto" w:sz="4" w:space="0"/>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90" w:type="dxa"/>
            <w:vAlign w:val="top"/>
          </w:tcPr>
          <w:p>
            <w:pPr>
              <w:pStyle w:val="6"/>
              <w:spacing w:before="88" w:line="189" w:lineRule="auto"/>
              <w:ind w:left="548"/>
              <w:rPr>
                <w:rFonts w:hint="eastAsia" w:eastAsia="宋体"/>
                <w:lang w:eastAsia="zh-CN"/>
              </w:rPr>
            </w:pPr>
            <w:r>
              <w:rPr>
                <w:rFonts w:hint="eastAsia"/>
                <w:lang w:val="en-US" w:eastAsia="zh-CN"/>
              </w:rPr>
              <w:t>5</w:t>
            </w:r>
          </w:p>
        </w:tc>
        <w:tc>
          <w:tcPr>
            <w:tcW w:w="2975" w:type="dxa"/>
            <w:vAlign w:val="top"/>
          </w:tcPr>
          <w:p>
            <w:pPr>
              <w:pStyle w:val="6"/>
              <w:spacing w:before="56" w:line="228" w:lineRule="auto"/>
              <w:ind w:left="1287"/>
            </w:pPr>
            <w:r>
              <w:rPr>
                <w:spacing w:val="2"/>
              </w:rPr>
              <w:t>强度</w:t>
            </w:r>
          </w:p>
        </w:tc>
        <w:tc>
          <w:tcPr>
            <w:tcW w:w="2979" w:type="dxa"/>
            <w:vMerge w:val="restart"/>
            <w:tcBorders>
              <w:top w:val="single" w:color="auto" w:sz="4" w:space="0"/>
            </w:tcBorders>
            <w:vAlign w:val="center"/>
          </w:tcPr>
          <w:p>
            <w:pPr>
              <w:pStyle w:val="6"/>
              <w:spacing w:before="87" w:line="190" w:lineRule="auto"/>
              <w:ind w:left="1175"/>
              <w:jc w:val="both"/>
            </w:pPr>
            <w:r>
              <w:rPr>
                <w:spacing w:val="-1"/>
              </w:rPr>
              <w:t>GB</w:t>
            </w:r>
            <w:r>
              <w:rPr>
                <w:spacing w:val="28"/>
              </w:rPr>
              <w:t xml:space="preserve"> </w:t>
            </w:r>
            <w:r>
              <w:rPr>
                <w:spacing w:val="-1"/>
              </w:rPr>
              <w:t>175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90" w:type="dxa"/>
            <w:vAlign w:val="top"/>
          </w:tcPr>
          <w:p>
            <w:pPr>
              <w:pStyle w:val="6"/>
              <w:spacing w:before="88" w:line="189" w:lineRule="auto"/>
              <w:ind w:left="548"/>
              <w:rPr>
                <w:rFonts w:hint="eastAsia" w:eastAsia="宋体"/>
                <w:lang w:val="en-US" w:eastAsia="zh-CN"/>
              </w:rPr>
            </w:pPr>
            <w:r>
              <w:rPr>
                <w:rFonts w:hint="eastAsia"/>
                <w:lang w:val="en-US" w:eastAsia="zh-CN"/>
              </w:rPr>
              <w:t>6</w:t>
            </w:r>
          </w:p>
        </w:tc>
        <w:tc>
          <w:tcPr>
            <w:tcW w:w="2975" w:type="dxa"/>
            <w:vAlign w:val="top"/>
          </w:tcPr>
          <w:p>
            <w:pPr>
              <w:pStyle w:val="6"/>
              <w:spacing w:before="56" w:line="228" w:lineRule="auto"/>
              <w:ind w:left="1287"/>
              <w:rPr>
                <w:rFonts w:hint="eastAsia" w:eastAsia="宋体"/>
                <w:spacing w:val="2"/>
                <w:lang w:eastAsia="zh-CN"/>
              </w:rPr>
            </w:pPr>
            <w:r>
              <w:rPr>
                <w:rFonts w:hint="eastAsia"/>
                <w:spacing w:val="2"/>
                <w:lang w:eastAsia="zh-CN"/>
              </w:rPr>
              <w:t>细度</w:t>
            </w:r>
          </w:p>
        </w:tc>
        <w:tc>
          <w:tcPr>
            <w:tcW w:w="2979" w:type="dxa"/>
            <w:vMerge w:val="continue"/>
            <w:vAlign w:val="top"/>
          </w:tcPr>
          <w:p>
            <w:pPr>
              <w:pStyle w:val="6"/>
              <w:spacing w:before="87" w:line="190" w:lineRule="auto"/>
              <w:ind w:left="1175"/>
              <w:rPr>
                <w:spacing w:val="-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90" w:type="dxa"/>
            <w:vAlign w:val="top"/>
          </w:tcPr>
          <w:p>
            <w:pPr>
              <w:pStyle w:val="6"/>
              <w:spacing w:before="88" w:line="189" w:lineRule="auto"/>
              <w:ind w:left="548"/>
              <w:rPr>
                <w:rFonts w:hint="eastAsia" w:eastAsia="宋体"/>
                <w:lang w:val="en-US" w:eastAsia="zh-CN"/>
              </w:rPr>
            </w:pPr>
            <w:r>
              <w:rPr>
                <w:rFonts w:hint="eastAsia"/>
                <w:lang w:val="en-US" w:eastAsia="zh-CN"/>
              </w:rPr>
              <w:t>7</w:t>
            </w:r>
          </w:p>
        </w:tc>
        <w:tc>
          <w:tcPr>
            <w:tcW w:w="2975" w:type="dxa"/>
            <w:vAlign w:val="top"/>
          </w:tcPr>
          <w:p>
            <w:pPr>
              <w:pStyle w:val="6"/>
              <w:spacing w:before="56" w:line="228" w:lineRule="auto"/>
              <w:ind w:left="1287"/>
              <w:rPr>
                <w:rFonts w:hint="eastAsia" w:eastAsia="宋体"/>
                <w:spacing w:val="2"/>
                <w:lang w:eastAsia="zh-CN"/>
              </w:rPr>
            </w:pPr>
            <w:r>
              <w:rPr>
                <w:rFonts w:hint="eastAsia"/>
                <w:spacing w:val="2"/>
                <w:lang w:eastAsia="zh-CN"/>
              </w:rPr>
              <w:t>包装</w:t>
            </w:r>
          </w:p>
        </w:tc>
        <w:tc>
          <w:tcPr>
            <w:tcW w:w="2979" w:type="dxa"/>
            <w:vMerge w:val="continue"/>
            <w:vAlign w:val="top"/>
          </w:tcPr>
          <w:p>
            <w:pPr>
              <w:pStyle w:val="6"/>
              <w:spacing w:before="87" w:line="190" w:lineRule="auto"/>
              <w:ind w:left="1175"/>
              <w:rPr>
                <w:spacing w:val="-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90" w:type="dxa"/>
            <w:vAlign w:val="top"/>
          </w:tcPr>
          <w:p>
            <w:pPr>
              <w:pStyle w:val="6"/>
              <w:spacing w:before="88" w:line="189" w:lineRule="auto"/>
              <w:ind w:left="548"/>
              <w:rPr>
                <w:rFonts w:hint="eastAsia" w:eastAsia="宋体"/>
                <w:lang w:val="en-US" w:eastAsia="zh-CN"/>
              </w:rPr>
            </w:pPr>
            <w:r>
              <w:rPr>
                <w:rFonts w:hint="eastAsia"/>
                <w:lang w:val="en-US" w:eastAsia="zh-CN"/>
              </w:rPr>
              <w:t>8</w:t>
            </w:r>
          </w:p>
        </w:tc>
        <w:tc>
          <w:tcPr>
            <w:tcW w:w="2975" w:type="dxa"/>
            <w:vAlign w:val="top"/>
          </w:tcPr>
          <w:p>
            <w:pPr>
              <w:pStyle w:val="6"/>
              <w:spacing w:before="56" w:line="228" w:lineRule="auto"/>
              <w:ind w:left="1287"/>
              <w:rPr>
                <w:rFonts w:hint="eastAsia"/>
                <w:spacing w:val="2"/>
                <w:lang w:eastAsia="zh-CN"/>
              </w:rPr>
            </w:pPr>
            <w:r>
              <w:rPr>
                <w:rFonts w:hint="eastAsia"/>
                <w:spacing w:val="2"/>
                <w:lang w:eastAsia="zh-CN"/>
              </w:rPr>
              <w:t>标志</w:t>
            </w:r>
          </w:p>
        </w:tc>
        <w:tc>
          <w:tcPr>
            <w:tcW w:w="2979" w:type="dxa"/>
            <w:vMerge w:val="continue"/>
            <w:vAlign w:val="top"/>
          </w:tcPr>
          <w:p>
            <w:pPr>
              <w:pStyle w:val="6"/>
              <w:spacing w:before="87" w:line="190" w:lineRule="auto"/>
              <w:ind w:left="1175"/>
              <w:rPr>
                <w:spacing w:val="-1"/>
              </w:rPr>
            </w:pPr>
          </w:p>
        </w:tc>
      </w:tr>
    </w:tbl>
    <w:p>
      <w:pPr>
        <w:pStyle w:val="2"/>
        <w:spacing w:before="186" w:line="228" w:lineRule="auto"/>
        <w:ind w:left="262"/>
      </w:pPr>
      <w:r>
        <w:rPr>
          <w:spacing w:val="9"/>
        </w:rPr>
        <w:t>注：不同品种水泥的检验项目按照</w:t>
      </w:r>
      <w:r>
        <w:rPr>
          <w:spacing w:val="-39"/>
        </w:rPr>
        <w:t xml:space="preserve"> </w:t>
      </w:r>
      <w:r>
        <w:t>GB</w:t>
      </w:r>
      <w:r>
        <w:rPr>
          <w:spacing w:val="9"/>
        </w:rPr>
        <w:t xml:space="preserve"> 175《通用硅酸盐水泥》相应产品的规定进</w:t>
      </w:r>
      <w:r>
        <w:rPr>
          <w:spacing w:val="8"/>
        </w:rPr>
        <w:t>行。</w:t>
      </w:r>
    </w:p>
    <w:p>
      <w:pPr>
        <w:spacing w:line="228" w:lineRule="auto"/>
        <w:sectPr>
          <w:footerReference r:id="rId5" w:type="default"/>
          <w:pgSz w:w="11906" w:h="16839"/>
          <w:pgMar w:top="1423" w:right="1747" w:bottom="1362" w:left="1785" w:header="0" w:footer="1200" w:gutter="0"/>
          <w:cols w:space="720" w:num="1"/>
        </w:sectPr>
      </w:pPr>
    </w:p>
    <w:p>
      <w:pPr>
        <w:spacing w:line="132" w:lineRule="exact"/>
      </w:pPr>
    </w:p>
    <w:p>
      <w:pPr>
        <w:pStyle w:val="2"/>
        <w:spacing w:before="161" w:line="408" w:lineRule="exact"/>
        <w:ind w:right="42"/>
        <w:jc w:val="right"/>
      </w:pPr>
      <w:r>
        <w:rPr>
          <w:spacing w:val="7"/>
          <w:position w:val="15"/>
        </w:rPr>
        <w:t>凡是注日期的文件，其随后所有的修改单（不包括勘误的内容）或修订版不适用于本细</w:t>
      </w:r>
    </w:p>
    <w:p>
      <w:pPr>
        <w:pStyle w:val="2"/>
        <w:spacing w:line="226" w:lineRule="auto"/>
        <w:ind w:left="26"/>
      </w:pPr>
      <w:r>
        <w:rPr>
          <w:spacing w:val="9"/>
        </w:rPr>
        <w:t>则。凡是不注日期的文件，其最新版本适用于本细则。</w:t>
      </w:r>
    </w:p>
    <w:p>
      <w:pPr>
        <w:pStyle w:val="2"/>
        <w:spacing w:before="162" w:line="228" w:lineRule="auto"/>
        <w:ind w:left="26"/>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判定原则</w:t>
      </w:r>
    </w:p>
    <w:p>
      <w:pPr>
        <w:pStyle w:val="2"/>
        <w:spacing w:before="163" w:line="227" w:lineRule="auto"/>
        <w:ind w:left="26"/>
      </w:pPr>
      <w:r>
        <w:rPr>
          <w:spacing w:val="4"/>
        </w:rPr>
        <w:t>3.1</w:t>
      </w:r>
      <w:r>
        <w:rPr>
          <w:spacing w:val="-37"/>
        </w:rPr>
        <w:t xml:space="preserve"> </w:t>
      </w:r>
      <w:r>
        <w:rPr>
          <w:spacing w:val="4"/>
        </w:rPr>
        <w:t>标准依据</w:t>
      </w:r>
    </w:p>
    <w:p>
      <w:pPr>
        <w:pStyle w:val="2"/>
        <w:spacing w:before="162" w:line="228" w:lineRule="auto"/>
        <w:ind w:left="439"/>
      </w:pPr>
      <w:r>
        <w:t>GB</w:t>
      </w:r>
      <w:r>
        <w:rPr>
          <w:spacing w:val="30"/>
        </w:rPr>
        <w:t xml:space="preserve"> </w:t>
      </w:r>
      <w:r>
        <w:rPr>
          <w:spacing w:val="6"/>
        </w:rPr>
        <w:t>175  通用硅酸盐水泥</w:t>
      </w:r>
    </w:p>
    <w:p>
      <w:pPr>
        <w:pStyle w:val="2"/>
        <w:spacing w:before="130" w:line="408" w:lineRule="exact"/>
        <w:ind w:left="439"/>
      </w:pPr>
      <w:r>
        <w:fldChar w:fldCharType="begin"/>
      </w:r>
      <w:r>
        <w:instrText xml:space="preserve"> HYPERLINK "javascript:__doPostBack('ctl00$ctl00$ContentPlaceHolder1$ContentPlaceHolder1$rptStandard$ctl00$lbtnDetail','')" </w:instrText>
      </w:r>
      <w:r>
        <w:fldChar w:fldCharType="separate"/>
      </w:r>
      <w:r>
        <w:rPr>
          <w:position w:val="5"/>
        </w:rPr>
        <w:t>GB</w:t>
      </w:r>
      <w:r>
        <w:rPr>
          <w:spacing w:val="6"/>
          <w:position w:val="5"/>
        </w:rPr>
        <w:t>/T 3183</w:t>
      </w:r>
      <w:r>
        <w:rPr>
          <w:spacing w:val="6"/>
          <w:position w:val="5"/>
        </w:rPr>
        <w:fldChar w:fldCharType="end"/>
      </w:r>
      <w:r>
        <w:rPr>
          <w:spacing w:val="9"/>
          <w:position w:val="5"/>
        </w:rPr>
        <w:t xml:space="preserve">  </w:t>
      </w:r>
      <w:r>
        <w:rPr>
          <w:spacing w:val="6"/>
          <w:position w:val="5"/>
        </w:rPr>
        <w:t>砌筑水泥</w:t>
      </w:r>
    </w:p>
    <w:p>
      <w:pPr>
        <w:pStyle w:val="2"/>
        <w:spacing w:before="31" w:line="227" w:lineRule="auto"/>
        <w:ind w:left="439"/>
      </w:pPr>
      <w:r>
        <w:t>GB</w:t>
      </w:r>
      <w:r>
        <w:rPr>
          <w:spacing w:val="8"/>
        </w:rPr>
        <w:t xml:space="preserve"> 6566  建筑材料放射性核素限量</w:t>
      </w:r>
    </w:p>
    <w:p>
      <w:pPr>
        <w:pStyle w:val="2"/>
        <w:spacing w:before="162" w:line="408" w:lineRule="exact"/>
        <w:ind w:left="439"/>
      </w:pPr>
      <w:r>
        <w:rPr>
          <w:position w:val="15"/>
        </w:rPr>
        <w:t>GB</w:t>
      </w:r>
      <w:r>
        <w:rPr>
          <w:spacing w:val="10"/>
          <w:position w:val="15"/>
        </w:rPr>
        <w:t xml:space="preserve"> 31893  水泥中水溶性铬(Ⅵ)</w:t>
      </w:r>
      <w:r>
        <w:rPr>
          <w:spacing w:val="62"/>
          <w:position w:val="15"/>
        </w:rPr>
        <w:t xml:space="preserve"> </w:t>
      </w:r>
      <w:r>
        <w:rPr>
          <w:spacing w:val="10"/>
          <w:position w:val="15"/>
        </w:rPr>
        <w:t>的限量及测定方法</w:t>
      </w:r>
    </w:p>
    <w:p>
      <w:pPr>
        <w:pStyle w:val="2"/>
        <w:spacing w:before="1" w:line="226" w:lineRule="auto"/>
        <w:ind w:left="442"/>
      </w:pPr>
      <w:r>
        <w:rPr>
          <w:spacing w:val="9"/>
        </w:rPr>
        <w:t>相关的法律、行政法规、部门规章、规范性文件</w:t>
      </w:r>
    </w:p>
    <w:p>
      <w:pPr>
        <w:pStyle w:val="2"/>
        <w:spacing w:before="165" w:line="408" w:lineRule="exact"/>
        <w:ind w:left="443"/>
      </w:pPr>
      <w:r>
        <w:rPr>
          <w:spacing w:val="9"/>
          <w:position w:val="15"/>
        </w:rPr>
        <w:t>现行有效的企业标准、团体标准、地方标准及产品明示质量要求</w:t>
      </w:r>
    </w:p>
    <w:p>
      <w:pPr>
        <w:pStyle w:val="2"/>
        <w:spacing w:line="228" w:lineRule="auto"/>
        <w:ind w:left="26"/>
      </w:pPr>
      <w:r>
        <w:rPr>
          <w:spacing w:val="4"/>
        </w:rPr>
        <w:t>3.2</w:t>
      </w:r>
      <w:r>
        <w:rPr>
          <w:spacing w:val="-37"/>
        </w:rPr>
        <w:t xml:space="preserve"> </w:t>
      </w:r>
      <w:r>
        <w:rPr>
          <w:spacing w:val="4"/>
        </w:rPr>
        <w:t>判定原则</w:t>
      </w:r>
    </w:p>
    <w:p>
      <w:pPr>
        <w:pStyle w:val="2"/>
        <w:spacing w:before="161" w:line="408" w:lineRule="exact"/>
        <w:ind w:right="42"/>
        <w:jc w:val="right"/>
      </w:pPr>
      <w:r>
        <w:rPr>
          <w:spacing w:val="7"/>
          <w:position w:val="15"/>
        </w:rPr>
        <w:t>经检验，检验项目全部合格，判定为被抽查产品所检项目未发现不合格；检验项目中任</w:t>
      </w:r>
    </w:p>
    <w:p>
      <w:pPr>
        <w:pStyle w:val="2"/>
        <w:spacing w:line="227" w:lineRule="auto"/>
        <w:ind w:left="25"/>
      </w:pPr>
      <w:r>
        <w:rPr>
          <w:spacing w:val="9"/>
        </w:rPr>
        <w:t>一项或一项以上不合格，判定为被抽查产品不合</w:t>
      </w:r>
      <w:r>
        <w:rPr>
          <w:spacing w:val="8"/>
        </w:rPr>
        <w:t>格。</w:t>
      </w:r>
    </w:p>
    <w:p>
      <w:pPr>
        <w:pStyle w:val="2"/>
        <w:spacing w:before="164" w:line="408" w:lineRule="exact"/>
        <w:ind w:right="42"/>
        <w:jc w:val="right"/>
      </w:pPr>
      <w:r>
        <w:rPr>
          <w:spacing w:val="7"/>
          <w:position w:val="15"/>
        </w:rPr>
        <w:t>若被检产品明示的质量要求高于本细则中标准指标要求时，应按被检产品明示的质量要</w:t>
      </w:r>
    </w:p>
    <w:p>
      <w:pPr>
        <w:pStyle w:val="2"/>
        <w:spacing w:before="1" w:line="228" w:lineRule="auto"/>
        <w:ind w:left="23"/>
      </w:pPr>
      <w:r>
        <w:rPr>
          <w:spacing w:val="4"/>
        </w:rPr>
        <w:t>求判定。</w:t>
      </w:r>
    </w:p>
    <w:p>
      <w:pPr>
        <w:pStyle w:val="2"/>
        <w:spacing w:before="160" w:line="408" w:lineRule="exact"/>
        <w:ind w:right="42"/>
        <w:jc w:val="right"/>
      </w:pPr>
      <w:r>
        <w:rPr>
          <w:spacing w:val="7"/>
          <w:position w:val="15"/>
        </w:rPr>
        <w:t>若被检产品明示的质量要求低于本细则中依据的强制性标准指标要求时，应按照强制性</w:t>
      </w:r>
    </w:p>
    <w:p>
      <w:pPr>
        <w:pStyle w:val="2"/>
        <w:spacing w:before="1" w:line="228" w:lineRule="auto"/>
        <w:ind w:left="23"/>
      </w:pPr>
      <w:r>
        <w:rPr>
          <w:spacing w:val="6"/>
        </w:rPr>
        <w:t>标准要求判定。</w:t>
      </w:r>
    </w:p>
    <w:p>
      <w:pPr>
        <w:pStyle w:val="2"/>
        <w:spacing w:before="160" w:line="408" w:lineRule="exact"/>
        <w:ind w:right="42"/>
        <w:jc w:val="right"/>
      </w:pPr>
      <w:r>
        <w:rPr>
          <w:spacing w:val="7"/>
          <w:position w:val="15"/>
        </w:rPr>
        <w:t>若被检产品明示的质量要求低于或包含本细则中推荐性标准指标要求时，应以被检产品</w:t>
      </w:r>
    </w:p>
    <w:p>
      <w:pPr>
        <w:pStyle w:val="2"/>
        <w:spacing w:line="226" w:lineRule="auto"/>
        <w:ind w:left="41"/>
      </w:pPr>
      <w:r>
        <w:rPr>
          <w:spacing w:val="8"/>
        </w:rPr>
        <w:t>明示的质量要求判定，但应在检验报告备注中进行说明。</w:t>
      </w:r>
    </w:p>
    <w:p>
      <w:pPr>
        <w:pStyle w:val="2"/>
        <w:spacing w:before="166" w:line="408" w:lineRule="exact"/>
        <w:ind w:right="42"/>
        <w:jc w:val="right"/>
      </w:pPr>
      <w:r>
        <w:rPr>
          <w:spacing w:val="7"/>
          <w:position w:val="15"/>
        </w:rPr>
        <w:t>若被检产品明示的质量要求缺少本细则中强制性标准指标要求时，应按照强制性标准要</w:t>
      </w:r>
    </w:p>
    <w:p>
      <w:pPr>
        <w:pStyle w:val="2"/>
        <w:spacing w:line="228" w:lineRule="auto"/>
        <w:ind w:left="23"/>
      </w:pPr>
      <w:r>
        <w:rPr>
          <w:spacing w:val="4"/>
        </w:rPr>
        <w:t>求判定。</w:t>
      </w:r>
    </w:p>
    <w:p>
      <w:pPr>
        <w:pStyle w:val="2"/>
        <w:spacing w:before="161" w:line="227" w:lineRule="auto"/>
        <w:jc w:val="right"/>
      </w:pPr>
      <w:r>
        <w:rPr>
          <w:spacing w:val="8"/>
        </w:rPr>
        <w:t>若被检产品明示的质量要求缺少本细则中推荐性标准指标要求时，该项目不参与判定，</w:t>
      </w:r>
    </w:p>
    <w:p>
      <w:pPr>
        <w:pStyle w:val="2"/>
        <w:spacing w:before="41" w:line="226" w:lineRule="auto"/>
        <w:ind w:left="20"/>
      </w:pPr>
      <w:r>
        <w:rPr>
          <w:spacing w:val="8"/>
        </w:rPr>
        <w:t>但应在检验报告备注中进行说明。</w:t>
      </w:r>
    </w:p>
    <w:p>
      <w:pPr>
        <w:pStyle w:val="2"/>
        <w:spacing w:before="162" w:line="228" w:lineRule="auto"/>
        <w:ind w:left="21"/>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163" w:line="408" w:lineRule="exact"/>
        <w:ind w:right="15"/>
        <w:jc w:val="right"/>
      </w:pPr>
      <w:r>
        <w:rPr>
          <w:spacing w:val="7"/>
          <w:position w:val="15"/>
        </w:rPr>
        <w:t>因安定性、沸煮法安定性项目的时效性，如产生异议，此项目不进行</w:t>
      </w:r>
      <w:r>
        <w:rPr>
          <w:spacing w:val="6"/>
          <w:position w:val="15"/>
        </w:rPr>
        <w:t>复检。本细则中确</w:t>
      </w:r>
    </w:p>
    <w:p>
      <w:pPr>
        <w:pStyle w:val="2"/>
        <w:spacing w:before="1" w:line="226" w:lineRule="auto"/>
        <w:ind w:left="27"/>
      </w:pPr>
      <w:r>
        <w:rPr>
          <w:spacing w:val="9"/>
        </w:rPr>
        <w:t>定的其它检验项目，采用备用样品进行复检。并依据复检结果进行判定。</w:t>
      </w:r>
    </w:p>
    <w:sectPr>
      <w:footerReference r:id="rId6" w:type="default"/>
      <w:pgSz w:w="11906" w:h="16839"/>
      <w:pgMar w:top="1428" w:right="1785" w:bottom="1362" w:left="1785" w:header="0"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43"/>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30"/>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6603905"/>
    <w:rsid w:val="0CB023E0"/>
    <w:rsid w:val="0CEA12C0"/>
    <w:rsid w:val="138A779A"/>
    <w:rsid w:val="143E3DC5"/>
    <w:rsid w:val="179F0D3D"/>
    <w:rsid w:val="1C656C23"/>
    <w:rsid w:val="262772A4"/>
    <w:rsid w:val="315F2CED"/>
    <w:rsid w:val="353201D7"/>
    <w:rsid w:val="42602A72"/>
    <w:rsid w:val="43621CE2"/>
    <w:rsid w:val="447E086E"/>
    <w:rsid w:val="4A4F34F9"/>
    <w:rsid w:val="5145546C"/>
    <w:rsid w:val="518741CF"/>
    <w:rsid w:val="5ABC59DC"/>
    <w:rsid w:val="5FF506FB"/>
    <w:rsid w:val="627E48A2"/>
    <w:rsid w:val="732A747F"/>
    <w:rsid w:val="77185B7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23</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2024-03-27T10:15:00Z</dcterms:created>
  <dc:creator>Windows 用户</dc:creator>
  <cp:lastModifiedBy>叁柒肆拾玖</cp:lastModifiedBy>
  <dcterms:modified xsi:type="dcterms:W3CDTF">2024-04-03T06:39:40Z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2024-04-02T14:11:06Z</vt:filetime>
  </property>
  <property fmtid="{D5CDD505-2E9C-101B-9397-08002B2CF9AE}" pid="4" name="KSOProductBuildVer">
    <vt:lpwstr>2052-12.1.0.16412</vt:lpwstr>
  </property>
  <property fmtid="{D5CDD505-2E9C-101B-9397-08002B2CF9AE}" pid="5" name="ICV">
    <vt:lpwstr>64CBD3DE515C45BFA21AD79AE8329943_12</vt:lpwstr>
  </property>
</Properties>
</file>