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0"/>
        <w:jc w:val="both"/>
        <w:textAlignment w:val="auto"/>
        <w:outlineLvl w:val="9"/>
        <w:rPr>
          <w:rFonts w:hint="eastAsia" w:ascii="Times New Roman" w:hAnsi="Times New Roman" w:eastAsia="黑体" w:cs="黑体"/>
          <w:b w:val="0"/>
          <w:bCs/>
          <w:i w:val="0"/>
          <w:caps w:val="0"/>
          <w:color w:val="333333"/>
          <w:spacing w:val="0"/>
          <w:sz w:val="32"/>
          <w:szCs w:val="32"/>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420"/>
        <w:jc w:val="both"/>
        <w:textAlignment w:val="auto"/>
        <w:outlineLvl w:val="9"/>
        <w:rPr>
          <w:rFonts w:hint="eastAsia" w:ascii="Times New Roman" w:hAnsi="Times New Roman" w:eastAsia="宋体" w:cs="宋体"/>
          <w:i w:val="0"/>
          <w:caps w:val="0"/>
          <w:color w:val="333333"/>
          <w:spacing w:val="0"/>
          <w:sz w:val="24"/>
          <w:szCs w:val="24"/>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0"/>
        <w:jc w:val="center"/>
        <w:textAlignment w:val="auto"/>
        <w:outlineLvl w:val="9"/>
        <w:rPr>
          <w:rFonts w:hint="eastAsia" w:ascii="Times New Roman" w:hAnsi="Times New Roman" w:eastAsia="方正小标宋简体" w:cs="方正小标宋简体"/>
          <w:b w:val="0"/>
          <w:bCs/>
          <w:i w:val="0"/>
          <w:caps w:val="0"/>
          <w:color w:val="333333"/>
          <w:spacing w:val="0"/>
          <w:sz w:val="44"/>
          <w:szCs w:val="44"/>
          <w:shd w:val="clear" w:fill="FFFFFF"/>
          <w:lang w:val="en-US" w:eastAsia="zh-CN"/>
        </w:rPr>
      </w:pPr>
      <w:r>
        <w:rPr>
          <w:rFonts w:hint="eastAsia" w:ascii="Times New Roman" w:hAnsi="Times New Roman" w:eastAsia="方正小标宋简体" w:cs="方正小标宋简体"/>
          <w:b w:val="0"/>
          <w:bCs/>
          <w:i w:val="0"/>
          <w:caps w:val="0"/>
          <w:color w:val="333333"/>
          <w:spacing w:val="0"/>
          <w:sz w:val="44"/>
          <w:szCs w:val="44"/>
          <w:shd w:val="clear" w:fill="FFFFFF"/>
          <w:lang w:val="en-US" w:eastAsia="zh-CN"/>
        </w:rPr>
        <w:t>威海火炬高技术产业开发区党政办公室</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0"/>
        <w:jc w:val="center"/>
        <w:textAlignment w:val="auto"/>
        <w:outlineLvl w:val="9"/>
        <w:rPr>
          <w:rFonts w:hint="default" w:ascii="Times New Roman" w:hAnsi="Times New Roman" w:eastAsia="方正小标宋简体" w:cs="方正小标宋简体"/>
          <w:b w:val="0"/>
          <w:bCs/>
          <w:i w:val="0"/>
          <w:caps w:val="0"/>
          <w:color w:val="333333"/>
          <w:spacing w:val="0"/>
          <w:sz w:val="44"/>
          <w:szCs w:val="44"/>
          <w:lang w:val="en-US" w:eastAsia="zh-CN"/>
        </w:rPr>
      </w:pPr>
      <w:r>
        <w:rPr>
          <w:rFonts w:hint="eastAsia" w:ascii="Times New Roman" w:hAnsi="Times New Roman" w:eastAsia="方正小标宋简体" w:cs="方正小标宋简体"/>
          <w:b w:val="0"/>
          <w:bCs/>
          <w:i w:val="0"/>
          <w:caps w:val="0"/>
          <w:color w:val="333333"/>
          <w:spacing w:val="0"/>
          <w:sz w:val="44"/>
          <w:szCs w:val="44"/>
          <w:shd w:val="clear" w:fill="FFFFFF"/>
          <w:lang w:val="en-US" w:eastAsia="zh-CN"/>
        </w:rPr>
        <w:t>2020年政府信息公开工作年度报告</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420"/>
        <w:jc w:val="both"/>
        <w:textAlignment w:val="auto"/>
        <w:outlineLvl w:val="9"/>
        <w:rPr>
          <w:rFonts w:hint="eastAsia" w:ascii="Times New Roman" w:hAnsi="Times New Roman" w:eastAsia="宋体" w:cs="宋体"/>
          <w:i w:val="0"/>
          <w:caps w:val="0"/>
          <w:color w:val="333333"/>
          <w:spacing w:val="0"/>
          <w:sz w:val="24"/>
          <w:szCs w:val="24"/>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ascii="Times New Roman" w:hAnsi="Times New Roman" w:eastAsia="仿宋_GB2312" w:cs="仿宋_GB2312"/>
          <w:i w:val="0"/>
          <w:caps w:val="0"/>
          <w:color w:val="333333"/>
          <w:spacing w:val="0"/>
          <w:sz w:val="32"/>
          <w:szCs w:val="32"/>
          <w:shd w:val="clear" w:fill="FFFFFF"/>
        </w:rPr>
      </w:pPr>
      <w:r>
        <w:rPr>
          <w:rFonts w:hint="eastAsia" w:ascii="Times New Roman" w:hAnsi="Times New Roman" w:eastAsia="仿宋_GB2312" w:cs="仿宋_GB2312"/>
          <w:i w:val="0"/>
          <w:caps w:val="0"/>
          <w:color w:val="333333"/>
          <w:spacing w:val="0"/>
          <w:sz w:val="32"/>
          <w:szCs w:val="32"/>
          <w:shd w:val="clear" w:fill="FFFFFF"/>
        </w:rPr>
        <w:t>根据《中华人民共和国政府信息公开条例》规定，现公布威海火炬高技术产业开发区</w:t>
      </w:r>
      <w:r>
        <w:rPr>
          <w:rFonts w:hint="eastAsia" w:ascii="Times New Roman" w:hAnsi="Times New Roman" w:eastAsia="仿宋_GB2312" w:cs="仿宋_GB2312"/>
          <w:i w:val="0"/>
          <w:caps w:val="0"/>
          <w:color w:val="333333"/>
          <w:spacing w:val="0"/>
          <w:sz w:val="32"/>
          <w:szCs w:val="32"/>
          <w:shd w:val="clear" w:fill="FFFFFF"/>
          <w:lang w:val="en-US" w:eastAsia="zh-CN"/>
        </w:rPr>
        <w:t>党政办公室2020</w:t>
      </w:r>
      <w:r>
        <w:rPr>
          <w:rFonts w:hint="eastAsia" w:ascii="Times New Roman" w:hAnsi="Times New Roman" w:eastAsia="仿宋_GB2312" w:cs="仿宋_GB2312"/>
          <w:i w:val="0"/>
          <w:caps w:val="0"/>
          <w:color w:val="333333"/>
          <w:spacing w:val="0"/>
          <w:sz w:val="32"/>
          <w:szCs w:val="32"/>
          <w:shd w:val="clear" w:fill="FFFFFF"/>
        </w:rPr>
        <w:t>年政府信息公开工作年度报告。本报告中所列数据的统计时限自20</w:t>
      </w:r>
      <w:r>
        <w:rPr>
          <w:rFonts w:hint="eastAsia" w:ascii="Times New Roman" w:hAnsi="Times New Roman" w:eastAsia="仿宋_GB2312" w:cs="仿宋_GB2312"/>
          <w:i w:val="0"/>
          <w:caps w:val="0"/>
          <w:color w:val="333333"/>
          <w:spacing w:val="0"/>
          <w:sz w:val="32"/>
          <w:szCs w:val="32"/>
          <w:shd w:val="clear" w:fill="FFFFFF"/>
          <w:lang w:val="en-US" w:eastAsia="zh-CN"/>
        </w:rPr>
        <w:t>20</w:t>
      </w:r>
      <w:r>
        <w:rPr>
          <w:rFonts w:hint="eastAsia" w:ascii="Times New Roman" w:hAnsi="Times New Roman" w:eastAsia="仿宋_GB2312" w:cs="仿宋_GB2312"/>
          <w:i w:val="0"/>
          <w:caps w:val="0"/>
          <w:color w:val="333333"/>
          <w:spacing w:val="0"/>
          <w:sz w:val="32"/>
          <w:szCs w:val="32"/>
          <w:shd w:val="clear" w:fill="FFFFFF"/>
        </w:rPr>
        <w:t>年1月1日起至</w:t>
      </w:r>
      <w:r>
        <w:rPr>
          <w:rFonts w:hint="eastAsia" w:ascii="Times New Roman" w:hAnsi="Times New Roman" w:eastAsia="仿宋_GB2312" w:cs="仿宋_GB2312"/>
          <w:i w:val="0"/>
          <w:caps w:val="0"/>
          <w:color w:val="333333"/>
          <w:spacing w:val="0"/>
          <w:sz w:val="32"/>
          <w:szCs w:val="32"/>
          <w:shd w:val="clear" w:fill="FFFFFF"/>
          <w:lang w:val="en-US" w:eastAsia="zh-CN"/>
        </w:rPr>
        <w:t>2020</w:t>
      </w:r>
      <w:r>
        <w:rPr>
          <w:rFonts w:hint="eastAsia" w:ascii="Times New Roman" w:hAnsi="Times New Roman" w:eastAsia="仿宋_GB2312" w:cs="仿宋_GB2312"/>
          <w:i w:val="0"/>
          <w:caps w:val="0"/>
          <w:color w:val="333333"/>
          <w:spacing w:val="0"/>
          <w:sz w:val="32"/>
          <w:szCs w:val="32"/>
          <w:shd w:val="clear" w:fill="FFFFFF"/>
        </w:rPr>
        <w:t>年12月31日止。本报告的电子版可在威海火炬高技术产业开发区管理委员会门户网站（http://www.whctp.gov.cn）下载。如对本报告有疑问，请与威海火炬高技术产业开发区</w:t>
      </w:r>
      <w:r>
        <w:rPr>
          <w:rFonts w:hint="eastAsia" w:ascii="Times New Roman" w:hAnsi="Times New Roman" w:eastAsia="仿宋_GB2312" w:cs="仿宋_GB2312"/>
          <w:i w:val="0"/>
          <w:caps w:val="0"/>
          <w:color w:val="333333"/>
          <w:spacing w:val="0"/>
          <w:sz w:val="32"/>
          <w:szCs w:val="32"/>
          <w:shd w:val="clear" w:fill="FFFFFF"/>
          <w:lang w:val="en-US" w:eastAsia="zh-CN"/>
        </w:rPr>
        <w:t>党政办公室</w:t>
      </w:r>
      <w:r>
        <w:rPr>
          <w:rFonts w:hint="eastAsia" w:ascii="Times New Roman" w:hAnsi="Times New Roman" w:eastAsia="仿宋_GB2312" w:cs="仿宋_GB2312"/>
          <w:i w:val="0"/>
          <w:caps w:val="0"/>
          <w:color w:val="333333"/>
          <w:spacing w:val="0"/>
          <w:sz w:val="32"/>
          <w:szCs w:val="32"/>
          <w:shd w:val="clear" w:fill="FFFFFF"/>
        </w:rPr>
        <w:t>联系（地址：威海市文化西路288号，电子邮箱：whgqzwgk@wh.shandong.cn，邮政编码：264209，办公电话：0631-3919181，传真：0631</w:t>
      </w:r>
      <w:r>
        <w:rPr>
          <w:rFonts w:hint="eastAsia" w:ascii="宋体" w:hAnsi="宋体" w:eastAsia="宋体" w:cs="宋体"/>
          <w:i w:val="0"/>
          <w:caps w:val="0"/>
          <w:color w:val="333333"/>
          <w:spacing w:val="0"/>
          <w:sz w:val="32"/>
          <w:szCs w:val="32"/>
          <w:shd w:val="clear" w:fill="FFFFFF"/>
        </w:rPr>
        <w:t>－</w:t>
      </w:r>
      <w:r>
        <w:rPr>
          <w:rFonts w:hint="eastAsia" w:ascii="Times New Roman" w:hAnsi="Times New Roman" w:eastAsia="仿宋_GB2312" w:cs="仿宋_GB2312"/>
          <w:i w:val="0"/>
          <w:caps w:val="0"/>
          <w:color w:val="333333"/>
          <w:spacing w:val="0"/>
          <w:sz w:val="32"/>
          <w:szCs w:val="32"/>
          <w:shd w:val="clear" w:fill="FFFFFF"/>
        </w:rPr>
        <w:t>5680205）。</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ascii="Times New Roman" w:hAnsi="Times New Roman" w:eastAsia="楷体" w:cs="楷体"/>
          <w:i w:val="0"/>
          <w:caps w:val="0"/>
          <w:color w:val="333333"/>
          <w:spacing w:val="0"/>
          <w:sz w:val="32"/>
          <w:szCs w:val="32"/>
          <w:shd w:val="clear" w:fill="FFFFFF"/>
          <w:lang w:eastAsia="zh-CN"/>
        </w:rPr>
      </w:pPr>
      <w:r>
        <w:rPr>
          <w:rFonts w:hint="eastAsia" w:ascii="Times New Roman" w:hAnsi="Times New Roman" w:eastAsia="黑体" w:cs="黑体"/>
          <w:b w:val="0"/>
          <w:bCs/>
          <w:i w:val="0"/>
          <w:caps w:val="0"/>
          <w:color w:val="333333"/>
          <w:spacing w:val="0"/>
          <w:sz w:val="32"/>
          <w:szCs w:val="32"/>
          <w:shd w:val="clear" w:fill="FFFFFF"/>
        </w:rPr>
        <w:t>一、总体情况</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420"/>
        <w:jc w:val="both"/>
        <w:textAlignment w:val="auto"/>
        <w:outlineLvl w:val="9"/>
        <w:rPr>
          <w:rFonts w:hint="eastAsia" w:ascii="Times New Roman" w:hAnsi="Times New Roman" w:eastAsia="仿宋_GB2312" w:cs="仿宋_GB2312"/>
          <w:i w:val="0"/>
          <w:caps w:val="0"/>
          <w:color w:val="333333"/>
          <w:spacing w:val="0"/>
          <w:sz w:val="32"/>
          <w:szCs w:val="32"/>
          <w:shd w:val="clear" w:fill="FFFFFF"/>
          <w:lang w:val="en-US" w:eastAsia="zh-CN"/>
        </w:rPr>
      </w:pPr>
      <w:r>
        <w:rPr>
          <w:rFonts w:hint="eastAsia" w:ascii="Times New Roman" w:hAnsi="Times New Roman" w:eastAsia="楷体" w:cs="楷体"/>
          <w:i w:val="0"/>
          <w:caps w:val="0"/>
          <w:color w:val="333333"/>
          <w:spacing w:val="0"/>
          <w:sz w:val="32"/>
          <w:szCs w:val="32"/>
          <w:shd w:val="clear" w:fill="FFFFFF"/>
          <w:lang w:eastAsia="zh-CN"/>
        </w:rPr>
        <w:t>（</w:t>
      </w:r>
      <w:r>
        <w:rPr>
          <w:rFonts w:hint="eastAsia" w:ascii="Times New Roman" w:hAnsi="Times New Roman" w:eastAsia="楷体" w:cs="楷体"/>
          <w:i w:val="0"/>
          <w:caps w:val="0"/>
          <w:color w:val="333333"/>
          <w:spacing w:val="0"/>
          <w:sz w:val="32"/>
          <w:szCs w:val="32"/>
          <w:shd w:val="clear" w:fill="FFFFFF"/>
          <w:lang w:val="en-US" w:eastAsia="zh-CN"/>
        </w:rPr>
        <w:t>一</w:t>
      </w:r>
      <w:r>
        <w:rPr>
          <w:rFonts w:hint="eastAsia" w:ascii="Times New Roman" w:hAnsi="Times New Roman" w:eastAsia="楷体" w:cs="楷体"/>
          <w:i w:val="0"/>
          <w:caps w:val="0"/>
          <w:color w:val="333333"/>
          <w:spacing w:val="0"/>
          <w:sz w:val="32"/>
          <w:szCs w:val="32"/>
          <w:shd w:val="clear" w:fill="FFFFFF"/>
          <w:lang w:eastAsia="zh-CN"/>
        </w:rPr>
        <w:t>）</w:t>
      </w:r>
      <w:r>
        <w:rPr>
          <w:rFonts w:hint="eastAsia" w:ascii="Times New Roman" w:hAnsi="Times New Roman" w:eastAsia="楷体" w:cs="楷体"/>
          <w:i w:val="0"/>
          <w:caps w:val="0"/>
          <w:color w:val="333333"/>
          <w:spacing w:val="0"/>
          <w:sz w:val="32"/>
          <w:szCs w:val="32"/>
          <w:shd w:val="clear" w:fill="FFFFFF"/>
          <w:lang w:val="en-US" w:eastAsia="zh-CN"/>
        </w:rPr>
        <w:t>强化主动公开</w:t>
      </w:r>
      <w:r>
        <w:rPr>
          <w:rFonts w:hint="eastAsia" w:eastAsia="楷体" w:cs="楷体"/>
          <w:i w:val="0"/>
          <w:caps w:val="0"/>
          <w:color w:val="333333"/>
          <w:spacing w:val="0"/>
          <w:sz w:val="32"/>
          <w:szCs w:val="32"/>
          <w:shd w:val="clear" w:fill="FFFFFF"/>
          <w:lang w:val="en-US" w:eastAsia="zh-CN"/>
        </w:rPr>
        <w:t>。</w:t>
      </w:r>
      <w:r>
        <w:rPr>
          <w:rFonts w:hint="eastAsia" w:ascii="Times New Roman" w:hAnsi="Times New Roman" w:eastAsia="仿宋_GB2312" w:cs="仿宋_GB2312"/>
          <w:i w:val="0"/>
          <w:caps w:val="0"/>
          <w:color w:val="333333"/>
          <w:spacing w:val="0"/>
          <w:sz w:val="32"/>
          <w:szCs w:val="32"/>
          <w:shd w:val="clear" w:fill="FFFFFF"/>
          <w:lang w:val="en-US" w:eastAsia="zh-CN"/>
        </w:rPr>
        <w:t>2020年，威海火炬高技术产业开发区党政办公室按照</w:t>
      </w:r>
      <w:r>
        <w:rPr>
          <w:rFonts w:hint="eastAsia" w:ascii="Times New Roman" w:hAnsi="Times New Roman" w:eastAsia="仿宋_GB2312" w:cs="仿宋_GB2312"/>
          <w:i w:val="0"/>
          <w:caps w:val="0"/>
          <w:color w:val="333333"/>
          <w:spacing w:val="0"/>
          <w:sz w:val="32"/>
          <w:szCs w:val="32"/>
          <w:shd w:val="clear" w:fill="FFFFFF"/>
        </w:rPr>
        <w:t>“公开为常态、不公开为例外”的原则，认真履行推进、指导、协调、监督</w:t>
      </w:r>
      <w:r>
        <w:rPr>
          <w:rFonts w:hint="eastAsia" w:ascii="Times New Roman" w:hAnsi="Times New Roman" w:eastAsia="仿宋_GB2312" w:cs="仿宋_GB2312"/>
          <w:i w:val="0"/>
          <w:caps w:val="0"/>
          <w:color w:val="333333"/>
          <w:spacing w:val="0"/>
          <w:sz w:val="32"/>
          <w:szCs w:val="32"/>
          <w:shd w:val="clear" w:fill="FFFFFF"/>
          <w:lang w:val="en-US" w:eastAsia="zh-CN"/>
        </w:rPr>
        <w:t>全区</w:t>
      </w:r>
      <w:r>
        <w:rPr>
          <w:rFonts w:hint="eastAsia" w:ascii="Times New Roman" w:hAnsi="Times New Roman" w:eastAsia="仿宋_GB2312" w:cs="仿宋_GB2312"/>
          <w:i w:val="0"/>
          <w:caps w:val="0"/>
          <w:color w:val="333333"/>
          <w:spacing w:val="0"/>
          <w:sz w:val="32"/>
          <w:szCs w:val="32"/>
          <w:shd w:val="clear" w:fill="FFFFFF"/>
        </w:rPr>
        <w:t>政府信息公开工作职责，健全公开机制，扩大公开领域，丰富公开内涵，优化公开载体</w:t>
      </w:r>
      <w:r>
        <w:rPr>
          <w:rFonts w:hint="eastAsia" w:ascii="Times New Roman" w:hAnsi="Times New Roman" w:eastAsia="仿宋_GB2312" w:cs="仿宋_GB2312"/>
          <w:i w:val="0"/>
          <w:caps w:val="0"/>
          <w:color w:val="333333"/>
          <w:spacing w:val="0"/>
          <w:sz w:val="32"/>
          <w:szCs w:val="32"/>
          <w:shd w:val="clear" w:fill="FFFFFF"/>
          <w:lang w:val="en-US" w:eastAsia="zh-CN"/>
        </w:rPr>
        <w:t>。</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eastAsia="仿宋_GB2312" w:cs="仿宋_GB2312"/>
          <w:i w:val="0"/>
          <w:caps w:val="0"/>
          <w:color w:val="333333"/>
          <w:spacing w:val="0"/>
          <w:sz w:val="32"/>
          <w:szCs w:val="32"/>
          <w:shd w:val="clear" w:fill="FFFFFF"/>
          <w:lang w:val="en-US" w:eastAsia="zh-CN"/>
        </w:rPr>
      </w:pPr>
      <w:r>
        <w:rPr>
          <w:rFonts w:hint="eastAsia" w:ascii="Times New Roman" w:hAnsi="Times New Roman" w:eastAsia="仿宋_GB2312" w:cs="仿宋_GB2312"/>
          <w:i w:val="0"/>
          <w:caps w:val="0"/>
          <w:color w:val="333333"/>
          <w:spacing w:val="0"/>
          <w:sz w:val="32"/>
          <w:szCs w:val="32"/>
          <w:shd w:val="clear" w:fill="FFFFFF"/>
          <w:lang w:val="en-US" w:eastAsia="zh-CN"/>
        </w:rPr>
        <w:t>一是</w:t>
      </w:r>
      <w:r>
        <w:rPr>
          <w:rFonts w:hint="eastAsia" w:eastAsia="仿宋_GB2312" w:cs="仿宋_GB2312"/>
          <w:i w:val="0"/>
          <w:caps w:val="0"/>
          <w:color w:val="333333"/>
          <w:spacing w:val="0"/>
          <w:sz w:val="32"/>
          <w:szCs w:val="32"/>
          <w:shd w:val="clear" w:fill="FFFFFF"/>
          <w:lang w:val="en-US" w:eastAsia="zh-CN"/>
        </w:rPr>
        <w:t>提高主动公开质量。制定下发了《2020年威海火炬高技术产业开发区政务公开重点工作及责任分工方案的通知》，明确信息公开责任单位，确保政务公开工作落实落细。</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420"/>
        <w:jc w:val="both"/>
        <w:textAlignment w:val="auto"/>
        <w:outlineLvl w:val="9"/>
        <w:rPr>
          <w:rFonts w:hint="eastAsia" w:eastAsia="仿宋_GB2312" w:cs="仿宋_GB2312"/>
          <w:i w:val="0"/>
          <w:caps w:val="0"/>
          <w:color w:val="333333"/>
          <w:spacing w:val="0"/>
          <w:sz w:val="32"/>
          <w:szCs w:val="32"/>
          <w:shd w:val="clear" w:fill="FFFFFF"/>
          <w:lang w:val="en-US" w:eastAsia="zh-CN"/>
        </w:rPr>
      </w:pPr>
      <w:r>
        <w:rPr>
          <w:rFonts w:hint="eastAsia" w:eastAsia="仿宋_GB2312" w:cs="仿宋_GB2312"/>
          <w:i w:val="0"/>
          <w:caps w:val="0"/>
          <w:color w:val="333333"/>
          <w:spacing w:val="0"/>
          <w:sz w:val="32"/>
          <w:szCs w:val="32"/>
          <w:shd w:val="clear" w:fill="FFFFFF"/>
          <w:lang w:val="en-US" w:eastAsia="zh-CN"/>
        </w:rPr>
        <w:drawing>
          <wp:anchor distT="0" distB="0" distL="114300" distR="114300" simplePos="0" relativeHeight="251658240" behindDoc="0" locked="0" layoutInCell="1" allowOverlap="1">
            <wp:simplePos x="0" y="0"/>
            <wp:positionH relativeFrom="column">
              <wp:posOffset>633730</wp:posOffset>
            </wp:positionH>
            <wp:positionV relativeFrom="paragraph">
              <wp:posOffset>358775</wp:posOffset>
            </wp:positionV>
            <wp:extent cx="4733925" cy="3146425"/>
            <wp:effectExtent l="0" t="0" r="9525" b="15875"/>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pic:cNvPicPr>
                  </pic:nvPicPr>
                  <pic:blipFill>
                    <a:blip r:embed="rId4"/>
                    <a:stretch>
                      <a:fillRect/>
                    </a:stretch>
                  </pic:blipFill>
                  <pic:spPr>
                    <a:xfrm>
                      <a:off x="0" y="0"/>
                      <a:ext cx="4733925" cy="3146425"/>
                    </a:xfrm>
                    <a:prstGeom prst="rect">
                      <a:avLst/>
                    </a:prstGeom>
                  </pic:spPr>
                </pic:pic>
              </a:graphicData>
            </a:graphic>
          </wp:anchor>
        </w:drawing>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420"/>
        <w:jc w:val="both"/>
        <w:textAlignment w:val="auto"/>
        <w:outlineLvl w:val="9"/>
        <w:rPr>
          <w:rFonts w:hint="eastAsia"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420"/>
        <w:jc w:val="both"/>
        <w:textAlignment w:val="auto"/>
        <w:outlineLvl w:val="9"/>
        <w:rPr>
          <w:rFonts w:hint="eastAsia"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420"/>
        <w:jc w:val="both"/>
        <w:textAlignment w:val="auto"/>
        <w:outlineLvl w:val="9"/>
        <w:rPr>
          <w:rFonts w:hint="eastAsia"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420"/>
        <w:jc w:val="both"/>
        <w:textAlignment w:val="auto"/>
        <w:outlineLvl w:val="9"/>
        <w:rPr>
          <w:rFonts w:hint="eastAsia"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420"/>
        <w:jc w:val="both"/>
        <w:textAlignment w:val="auto"/>
        <w:outlineLvl w:val="9"/>
        <w:rPr>
          <w:rFonts w:hint="eastAsia"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420"/>
        <w:jc w:val="both"/>
        <w:textAlignment w:val="auto"/>
        <w:outlineLvl w:val="9"/>
        <w:rPr>
          <w:rFonts w:hint="eastAsia"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420"/>
        <w:jc w:val="both"/>
        <w:textAlignment w:val="auto"/>
        <w:outlineLvl w:val="9"/>
        <w:rPr>
          <w:rFonts w:hint="eastAsia"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420"/>
        <w:jc w:val="both"/>
        <w:textAlignment w:val="auto"/>
        <w:outlineLvl w:val="9"/>
        <w:rPr>
          <w:rFonts w:hint="eastAsia"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jc w:val="both"/>
        <w:textAlignment w:val="auto"/>
        <w:outlineLvl w:val="9"/>
        <w:rPr>
          <w:rFonts w:hint="eastAsia"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eastAsia="仿宋_GB2312" w:cs="仿宋_GB2312"/>
          <w:i w:val="0"/>
          <w:caps w:val="0"/>
          <w:color w:val="333333"/>
          <w:spacing w:val="0"/>
          <w:sz w:val="32"/>
          <w:szCs w:val="32"/>
          <w:shd w:val="clear" w:fill="FFFFFF"/>
          <w:lang w:val="en-US" w:eastAsia="zh-CN"/>
        </w:rPr>
      </w:pPr>
      <w:r>
        <w:rPr>
          <w:rFonts w:hint="eastAsia" w:eastAsia="仿宋_GB2312" w:cs="仿宋_GB2312"/>
          <w:i w:val="0"/>
          <w:caps w:val="0"/>
          <w:color w:val="333333"/>
          <w:spacing w:val="0"/>
          <w:sz w:val="32"/>
          <w:szCs w:val="32"/>
          <w:shd w:val="clear" w:fill="FFFFFF"/>
          <w:lang w:val="en-US" w:eastAsia="zh-CN"/>
        </w:rPr>
        <w:drawing>
          <wp:anchor distT="0" distB="0" distL="114300" distR="114300" simplePos="0" relativeHeight="251659264" behindDoc="0" locked="0" layoutInCell="1" allowOverlap="1">
            <wp:simplePos x="0" y="0"/>
            <wp:positionH relativeFrom="column">
              <wp:posOffset>1864360</wp:posOffset>
            </wp:positionH>
            <wp:positionV relativeFrom="paragraph">
              <wp:posOffset>911860</wp:posOffset>
            </wp:positionV>
            <wp:extent cx="4048125" cy="2696210"/>
            <wp:effectExtent l="0" t="0" r="9525" b="8890"/>
            <wp:wrapSquare wrapText="bothSides"/>
            <wp:docPr id="2"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2"/>
                    <pic:cNvPicPr>
                      <a:picLocks noChangeAspect="1"/>
                    </pic:cNvPicPr>
                  </pic:nvPicPr>
                  <pic:blipFill>
                    <a:blip r:embed="rId5"/>
                    <a:stretch>
                      <a:fillRect/>
                    </a:stretch>
                  </pic:blipFill>
                  <pic:spPr>
                    <a:xfrm>
                      <a:off x="0" y="0"/>
                      <a:ext cx="4048125" cy="2696210"/>
                    </a:xfrm>
                    <a:prstGeom prst="rect">
                      <a:avLst/>
                    </a:prstGeom>
                  </pic:spPr>
                </pic:pic>
              </a:graphicData>
            </a:graphic>
          </wp:anchor>
        </w:drawing>
      </w:r>
      <w:r>
        <w:rPr>
          <w:rFonts w:hint="eastAsia" w:eastAsia="仿宋_GB2312" w:cs="仿宋_GB2312"/>
          <w:i w:val="0"/>
          <w:caps w:val="0"/>
          <w:color w:val="333333"/>
          <w:spacing w:val="0"/>
          <w:sz w:val="32"/>
          <w:szCs w:val="32"/>
          <w:shd w:val="clear" w:fill="FFFFFF"/>
          <w:lang w:val="en-US" w:eastAsia="zh-CN"/>
        </w:rPr>
        <w:t>二是强化政策解读。主要负责人上线接听政务热线，直接倾听群众诉求，解读相关政策，现场回应群众关切，从群众不满意的事项入手倒推，切实解决群众关注、社会影响较大的问题。凡主动公开的政策性文件均进行了解读，通过在线访谈、新闻发布会等不断丰富解读形式。</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ascii="Times New Roman" w:hAnsi="Times New Roman" w:eastAsia="仿宋_GB2312" w:cs="仿宋_GB2312"/>
          <w:i w:val="0"/>
          <w:caps w:val="0"/>
          <w:color w:val="333333"/>
          <w:spacing w:val="0"/>
          <w:sz w:val="32"/>
          <w:szCs w:val="32"/>
          <w:shd w:val="clear" w:fill="FFFFFF"/>
          <w:lang w:val="en-US" w:eastAsia="zh-CN"/>
        </w:rPr>
      </w:pPr>
      <w:r>
        <w:rPr>
          <w:rFonts w:hint="eastAsia" w:eastAsia="仿宋_GB2312" w:cs="仿宋_GB2312"/>
          <w:i w:val="0"/>
          <w:caps w:val="0"/>
          <w:color w:val="333333"/>
          <w:spacing w:val="0"/>
          <w:sz w:val="32"/>
          <w:szCs w:val="32"/>
          <w:shd w:val="clear" w:fill="FFFFFF"/>
          <w:lang w:val="en-US" w:eastAsia="zh-CN"/>
        </w:rPr>
        <w:t>三是强化主动公开。积极按照上级要求，牵头制定了25个领域的基层政务公开目录，对公开时限、标准等予以明确。</w:t>
      </w:r>
      <w:r>
        <w:rPr>
          <w:rFonts w:hint="eastAsia" w:ascii="Times New Roman" w:hAnsi="Times New Roman" w:eastAsia="仿宋_GB2312" w:cs="仿宋_GB2312"/>
          <w:i w:val="0"/>
          <w:caps w:val="0"/>
          <w:color w:val="333333"/>
          <w:spacing w:val="0"/>
          <w:sz w:val="32"/>
          <w:szCs w:val="32"/>
          <w:shd w:val="clear" w:fill="FFFFFF"/>
          <w:lang w:val="en-US" w:eastAsia="zh-CN"/>
        </w:rPr>
        <w:t>动态调整主动公开目录，及时根据</w:t>
      </w:r>
      <w:r>
        <w:rPr>
          <w:rFonts w:hint="eastAsia" w:eastAsia="仿宋_GB2312" w:cs="仿宋_GB2312"/>
          <w:i w:val="0"/>
          <w:caps w:val="0"/>
          <w:color w:val="333333"/>
          <w:spacing w:val="0"/>
          <w:sz w:val="32"/>
          <w:szCs w:val="32"/>
          <w:shd w:val="clear" w:fill="FFFFFF"/>
          <w:lang w:val="en-US" w:eastAsia="zh-CN"/>
        </w:rPr>
        <w:t>政务公开工作</w:t>
      </w:r>
      <w:r>
        <w:rPr>
          <w:rFonts w:hint="eastAsia" w:ascii="Times New Roman" w:hAnsi="Times New Roman" w:eastAsia="仿宋_GB2312" w:cs="仿宋_GB2312"/>
          <w:i w:val="0"/>
          <w:caps w:val="0"/>
          <w:color w:val="333333"/>
          <w:spacing w:val="0"/>
          <w:sz w:val="32"/>
          <w:szCs w:val="32"/>
          <w:shd w:val="clear" w:fill="FFFFFF"/>
          <w:lang w:val="en-US" w:eastAsia="zh-CN"/>
        </w:rPr>
        <w:t>要求</w:t>
      </w:r>
      <w:r>
        <w:rPr>
          <w:rFonts w:hint="eastAsia" w:eastAsia="仿宋_GB2312" w:cs="仿宋_GB2312"/>
          <w:i w:val="0"/>
          <w:caps w:val="0"/>
          <w:color w:val="333333"/>
          <w:spacing w:val="0"/>
          <w:sz w:val="32"/>
          <w:szCs w:val="32"/>
          <w:shd w:val="clear" w:fill="FFFFFF"/>
          <w:lang w:val="en-US" w:eastAsia="zh-CN"/>
        </w:rPr>
        <w:t>对网站</w:t>
      </w:r>
      <w:r>
        <w:rPr>
          <w:rFonts w:hint="eastAsia" w:ascii="Times New Roman" w:hAnsi="Times New Roman" w:eastAsia="仿宋_GB2312" w:cs="仿宋_GB2312"/>
          <w:i w:val="0"/>
          <w:caps w:val="0"/>
          <w:color w:val="333333"/>
          <w:spacing w:val="0"/>
          <w:sz w:val="32"/>
          <w:szCs w:val="32"/>
          <w:shd w:val="clear" w:fill="FFFFFF"/>
          <w:lang w:val="en-US" w:eastAsia="zh-CN"/>
        </w:rPr>
        <w:t>进行更新</w:t>
      </w:r>
      <w:r>
        <w:rPr>
          <w:rFonts w:hint="eastAsia" w:eastAsia="仿宋_GB2312" w:cs="仿宋_GB2312"/>
          <w:i w:val="0"/>
          <w:caps w:val="0"/>
          <w:color w:val="333333"/>
          <w:spacing w:val="0"/>
          <w:sz w:val="32"/>
          <w:szCs w:val="32"/>
          <w:shd w:val="clear" w:fill="FFFFFF"/>
          <w:lang w:val="en-US" w:eastAsia="zh-CN"/>
        </w:rPr>
        <w:t>，</w:t>
      </w:r>
      <w:r>
        <w:rPr>
          <w:rFonts w:hint="eastAsia" w:ascii="Times New Roman" w:hAnsi="Times New Roman" w:eastAsia="仿宋_GB2312" w:cs="仿宋_GB2312"/>
          <w:i w:val="0"/>
          <w:caps w:val="0"/>
          <w:color w:val="333333"/>
          <w:spacing w:val="0"/>
          <w:sz w:val="32"/>
          <w:szCs w:val="32"/>
          <w:shd w:val="clear" w:fill="FFFFFF"/>
          <w:lang w:val="en-US" w:eastAsia="zh-CN"/>
        </w:rPr>
        <w:t>确保了</w:t>
      </w:r>
      <w:r>
        <w:rPr>
          <w:rFonts w:hint="eastAsia" w:eastAsia="仿宋_GB2312" w:cs="仿宋_GB2312"/>
          <w:i w:val="0"/>
          <w:caps w:val="0"/>
          <w:color w:val="333333"/>
          <w:spacing w:val="0"/>
          <w:sz w:val="32"/>
          <w:szCs w:val="32"/>
          <w:shd w:val="clear" w:fill="FFFFFF"/>
          <w:lang w:val="en-US" w:eastAsia="zh-CN"/>
        </w:rPr>
        <w:t>政务</w:t>
      </w:r>
      <w:r>
        <w:rPr>
          <w:rFonts w:hint="eastAsia" w:ascii="Times New Roman" w:hAnsi="Times New Roman" w:eastAsia="仿宋_GB2312" w:cs="仿宋_GB2312"/>
          <w:i w:val="0"/>
          <w:caps w:val="0"/>
          <w:color w:val="333333"/>
          <w:spacing w:val="0"/>
          <w:sz w:val="32"/>
          <w:szCs w:val="32"/>
          <w:shd w:val="clear" w:fill="FFFFFF"/>
          <w:lang w:val="en-US" w:eastAsia="zh-CN"/>
        </w:rPr>
        <w:t>公开质量。</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jc w:val="both"/>
        <w:textAlignment w:val="auto"/>
        <w:outlineLvl w:val="9"/>
        <w:rPr>
          <w:rFonts w:hint="eastAsia" w:ascii="Times New Roman" w:hAnsi="Times New Roman" w:eastAsia="仿宋_GB2312" w:cs="仿宋_GB2312"/>
          <w:i w:val="0"/>
          <w:caps w:val="0"/>
          <w:color w:val="333333"/>
          <w:spacing w:val="0"/>
          <w:sz w:val="32"/>
          <w:szCs w:val="32"/>
          <w:shd w:val="clear" w:fill="FFFFFF"/>
          <w:lang w:val="en-US" w:eastAsia="zh-CN"/>
        </w:rPr>
      </w:pPr>
      <w:r>
        <w:rPr>
          <w:rFonts w:hint="eastAsia" w:ascii="Times New Roman" w:hAnsi="Times New Roman" w:eastAsia="仿宋_GB2312" w:cs="仿宋_GB2312"/>
          <w:i w:val="0"/>
          <w:caps w:val="0"/>
          <w:color w:val="333333"/>
          <w:spacing w:val="0"/>
          <w:sz w:val="32"/>
          <w:szCs w:val="32"/>
          <w:shd w:val="clear" w:fill="FFFFFF"/>
          <w:lang w:val="en-US" w:eastAsia="zh-CN"/>
        </w:rPr>
        <w:drawing>
          <wp:anchor distT="0" distB="0" distL="114300" distR="114300" simplePos="0" relativeHeight="251661312" behindDoc="0" locked="0" layoutInCell="1" allowOverlap="1">
            <wp:simplePos x="0" y="0"/>
            <wp:positionH relativeFrom="column">
              <wp:posOffset>261620</wp:posOffset>
            </wp:positionH>
            <wp:positionV relativeFrom="paragraph">
              <wp:posOffset>209550</wp:posOffset>
            </wp:positionV>
            <wp:extent cx="5029200" cy="2752725"/>
            <wp:effectExtent l="0" t="0" r="0" b="9525"/>
            <wp:wrapNone/>
            <wp:docPr id="4" name="图片 4"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5"/>
                    <pic:cNvPicPr>
                      <a:picLocks noChangeAspect="1"/>
                    </pic:cNvPicPr>
                  </pic:nvPicPr>
                  <pic:blipFill>
                    <a:blip r:embed="rId6"/>
                    <a:stretch>
                      <a:fillRect/>
                    </a:stretch>
                  </pic:blipFill>
                  <pic:spPr>
                    <a:xfrm>
                      <a:off x="0" y="0"/>
                      <a:ext cx="5029200" cy="2752725"/>
                    </a:xfrm>
                    <a:prstGeom prst="rect">
                      <a:avLst/>
                    </a:prstGeom>
                  </pic:spPr>
                </pic:pic>
              </a:graphicData>
            </a:graphic>
          </wp:anchor>
        </w:drawing>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jc w:val="both"/>
        <w:textAlignment w:val="auto"/>
        <w:outlineLvl w:val="9"/>
        <w:rPr>
          <w:rFonts w:hint="eastAsia" w:ascii="Times New Roman" w:hAnsi="Times New Roman"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jc w:val="both"/>
        <w:textAlignment w:val="auto"/>
        <w:outlineLvl w:val="9"/>
        <w:rPr>
          <w:rFonts w:hint="eastAsia" w:ascii="Times New Roman" w:hAnsi="Times New Roman"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jc w:val="both"/>
        <w:textAlignment w:val="auto"/>
        <w:outlineLvl w:val="9"/>
        <w:rPr>
          <w:rFonts w:hint="eastAsia" w:ascii="Times New Roman" w:hAnsi="Times New Roman"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jc w:val="both"/>
        <w:textAlignment w:val="auto"/>
        <w:outlineLvl w:val="9"/>
        <w:rPr>
          <w:rFonts w:hint="eastAsia" w:ascii="Times New Roman" w:hAnsi="Times New Roman"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jc w:val="both"/>
        <w:textAlignment w:val="auto"/>
        <w:outlineLvl w:val="9"/>
        <w:rPr>
          <w:rFonts w:hint="eastAsia" w:ascii="Times New Roman" w:hAnsi="Times New Roman"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jc w:val="both"/>
        <w:textAlignment w:val="auto"/>
        <w:outlineLvl w:val="9"/>
        <w:rPr>
          <w:rFonts w:hint="eastAsia" w:ascii="Times New Roman" w:hAnsi="Times New Roman"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jc w:val="both"/>
        <w:textAlignment w:val="auto"/>
        <w:outlineLvl w:val="9"/>
        <w:rPr>
          <w:rFonts w:hint="eastAsia" w:ascii="Times New Roman" w:hAnsi="Times New Roman"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ascii="Times New Roman" w:hAnsi="Times New Roman" w:eastAsia="仿宋_GB2312" w:cs="仿宋_GB2312"/>
          <w:i w:val="0"/>
          <w:caps w:val="0"/>
          <w:color w:val="333333"/>
          <w:spacing w:val="0"/>
          <w:sz w:val="32"/>
          <w:szCs w:val="32"/>
          <w:shd w:val="clear" w:fill="FFFFFF"/>
          <w:lang w:val="en-US" w:eastAsia="zh-CN"/>
        </w:rPr>
      </w:pPr>
      <w:r>
        <w:rPr>
          <w:rFonts w:hint="eastAsia" w:ascii="Times New Roman" w:hAnsi="Times New Roman" w:eastAsia="仿宋_GB2312" w:cs="仿宋_GB2312"/>
          <w:i w:val="0"/>
          <w:caps w:val="0"/>
          <w:color w:val="333333"/>
          <w:spacing w:val="0"/>
          <w:sz w:val="32"/>
          <w:szCs w:val="32"/>
          <w:shd w:val="clear" w:fill="FFFFFF"/>
          <w:lang w:val="en-US" w:eastAsia="zh-CN"/>
        </w:rPr>
        <w:drawing>
          <wp:anchor distT="0" distB="0" distL="114300" distR="114300" simplePos="0" relativeHeight="251660288" behindDoc="0" locked="0" layoutInCell="1" allowOverlap="1">
            <wp:simplePos x="0" y="0"/>
            <wp:positionH relativeFrom="column">
              <wp:posOffset>1334770</wp:posOffset>
            </wp:positionH>
            <wp:positionV relativeFrom="paragraph">
              <wp:posOffset>2090420</wp:posOffset>
            </wp:positionV>
            <wp:extent cx="4419600" cy="2260600"/>
            <wp:effectExtent l="0" t="0" r="0" b="6350"/>
            <wp:wrapSquare wrapText="bothSides"/>
            <wp:docPr id="3" name="图片 3"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
                    <pic:cNvPicPr>
                      <a:picLocks noChangeAspect="1"/>
                    </pic:cNvPicPr>
                  </pic:nvPicPr>
                  <pic:blipFill>
                    <a:blip r:embed="rId7"/>
                    <a:stretch>
                      <a:fillRect/>
                    </a:stretch>
                  </pic:blipFill>
                  <pic:spPr>
                    <a:xfrm>
                      <a:off x="0" y="0"/>
                      <a:ext cx="4419600" cy="2260600"/>
                    </a:xfrm>
                    <a:prstGeom prst="rect">
                      <a:avLst/>
                    </a:prstGeom>
                  </pic:spPr>
                </pic:pic>
              </a:graphicData>
            </a:graphic>
          </wp:anchor>
        </w:drawing>
      </w:r>
      <w:r>
        <w:rPr>
          <w:rFonts w:hint="eastAsia" w:eastAsia="仿宋_GB2312" w:cs="仿宋_GB2312"/>
          <w:i w:val="0"/>
          <w:caps w:val="0"/>
          <w:color w:val="333333"/>
          <w:spacing w:val="0"/>
          <w:sz w:val="32"/>
          <w:szCs w:val="32"/>
          <w:shd w:val="clear" w:fill="FFFFFF"/>
          <w:lang w:val="en-US" w:eastAsia="zh-CN"/>
        </w:rPr>
        <w:t>四是</w:t>
      </w:r>
      <w:r>
        <w:rPr>
          <w:rFonts w:hint="eastAsia" w:ascii="Times New Roman" w:hAnsi="Times New Roman" w:eastAsia="仿宋_GB2312" w:cs="仿宋_GB2312"/>
          <w:i w:val="0"/>
          <w:caps w:val="0"/>
          <w:color w:val="333333"/>
          <w:spacing w:val="0"/>
          <w:sz w:val="32"/>
          <w:szCs w:val="32"/>
          <w:shd w:val="clear" w:fill="FFFFFF"/>
          <w:lang w:val="en-US" w:eastAsia="zh-CN"/>
        </w:rPr>
        <w:t>强化重点领域信息公开。加强</w:t>
      </w:r>
      <w:r>
        <w:rPr>
          <w:rFonts w:hint="eastAsia" w:eastAsia="仿宋_GB2312" w:cs="仿宋_GB2312"/>
          <w:i w:val="0"/>
          <w:caps w:val="0"/>
          <w:color w:val="333333"/>
          <w:spacing w:val="0"/>
          <w:sz w:val="32"/>
          <w:szCs w:val="32"/>
          <w:shd w:val="clear" w:fill="FFFFFF"/>
          <w:lang w:val="en-US" w:eastAsia="zh-CN"/>
        </w:rPr>
        <w:t>优化营商环境</w:t>
      </w:r>
      <w:r>
        <w:rPr>
          <w:rFonts w:hint="eastAsia" w:ascii="Times New Roman" w:hAnsi="Times New Roman" w:eastAsia="仿宋_GB2312" w:cs="仿宋_GB2312"/>
          <w:i w:val="0"/>
          <w:caps w:val="0"/>
          <w:color w:val="333333"/>
          <w:spacing w:val="0"/>
          <w:sz w:val="32"/>
          <w:szCs w:val="32"/>
          <w:shd w:val="clear" w:fill="FFFFFF"/>
          <w:lang w:val="en-US" w:eastAsia="zh-CN"/>
        </w:rPr>
        <w:t>政策解读。积极开展营商环境政策易读性梳理及宣传工作，对近期出台且现行的惠企政策，进行详细解读，进一步优化和明确各项惠企政策的申请条件、申报材料清单等信息，重点解决政策表述不通透、申请条件不清楚、办理程序不明确的问题，形成惠企政策服务包，共汇编企业发展、科技创新、融资服务、人才政策、就业创业、政府采购等6个方面共计43项优惠政策解读，并制作二维码，在网站公开。</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ascii="Times New Roman" w:hAnsi="Times New Roman" w:eastAsia="仿宋_GB2312" w:cs="仿宋_GB2312"/>
          <w:i w:val="0"/>
          <w:caps w:val="0"/>
          <w:color w:val="333333"/>
          <w:spacing w:val="0"/>
          <w:sz w:val="32"/>
          <w:szCs w:val="32"/>
          <w:shd w:val="clear" w:fill="FFFFFF"/>
        </w:rPr>
      </w:pPr>
      <w:bookmarkStart w:id="0" w:name="_GoBack"/>
      <w:bookmarkEnd w:id="0"/>
      <w:r>
        <w:rPr>
          <w:rFonts w:hint="eastAsia" w:eastAsia="仿宋_GB2312" w:cs="仿宋_GB2312"/>
          <w:i w:val="0"/>
          <w:caps w:val="0"/>
          <w:color w:val="333333"/>
          <w:spacing w:val="0"/>
          <w:sz w:val="32"/>
          <w:szCs w:val="32"/>
          <w:shd w:val="clear" w:fill="FFFFFF"/>
          <w:lang w:val="en-US" w:eastAsia="zh-CN"/>
        </w:rPr>
        <w:t>五是</w:t>
      </w:r>
      <w:r>
        <w:rPr>
          <w:rFonts w:hint="eastAsia" w:ascii="Times New Roman" w:hAnsi="Times New Roman" w:eastAsia="仿宋_GB2312" w:cs="仿宋_GB2312"/>
          <w:i w:val="0"/>
          <w:caps w:val="0"/>
          <w:color w:val="333333"/>
          <w:spacing w:val="0"/>
          <w:sz w:val="32"/>
          <w:szCs w:val="32"/>
          <w:shd w:val="clear" w:fill="FFFFFF"/>
          <w:lang w:val="en-US" w:eastAsia="zh-CN"/>
        </w:rPr>
        <w:t>健全文件公开属性源头认定机制</w:t>
      </w:r>
      <w:r>
        <w:rPr>
          <w:rFonts w:hint="eastAsia" w:ascii="Times New Roman" w:hAnsi="Times New Roman" w:eastAsia="仿宋_GB2312" w:cs="仿宋_GB2312"/>
          <w:i w:val="0"/>
          <w:caps w:val="0"/>
          <w:color w:val="333333"/>
          <w:spacing w:val="0"/>
          <w:sz w:val="32"/>
          <w:szCs w:val="32"/>
          <w:shd w:val="clear" w:fill="FFFFFF"/>
        </w:rPr>
        <w:t>，</w:t>
      </w:r>
      <w:r>
        <w:rPr>
          <w:rFonts w:hint="eastAsia" w:ascii="Times New Roman" w:hAnsi="Times New Roman" w:eastAsia="仿宋_GB2312" w:cs="仿宋_GB2312"/>
          <w:i w:val="0"/>
          <w:caps w:val="0"/>
          <w:color w:val="333333"/>
          <w:spacing w:val="0"/>
          <w:sz w:val="32"/>
          <w:szCs w:val="32"/>
          <w:shd w:val="clear" w:fill="FFFFFF"/>
          <w:lang w:eastAsia="zh-CN"/>
        </w:rPr>
        <w:t>严把发文关，做到应公开尽公开。</w:t>
      </w:r>
      <w:r>
        <w:rPr>
          <w:rFonts w:hint="eastAsia" w:ascii="Times New Roman" w:hAnsi="Times New Roman" w:eastAsia="仿宋_GB2312" w:cs="仿宋_GB2312"/>
          <w:i w:val="0"/>
          <w:caps w:val="0"/>
          <w:color w:val="333333"/>
          <w:spacing w:val="0"/>
          <w:sz w:val="32"/>
          <w:szCs w:val="32"/>
          <w:shd w:val="clear" w:fill="FFFFFF"/>
          <w:lang w:val="en-US" w:eastAsia="zh-CN"/>
        </w:rPr>
        <w:t>2020年共公开管委及办公室文件17件。</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rPr>
          <w:rFonts w:hint="eastAsia" w:ascii="Times New Roman" w:hAnsi="Times New Roman" w:eastAsia="仿宋_GB2312" w:cs="仿宋_GB2312"/>
          <w:i w:val="0"/>
          <w:caps w:val="0"/>
          <w:color w:val="333333"/>
          <w:spacing w:val="0"/>
          <w:sz w:val="32"/>
          <w:szCs w:val="32"/>
          <w:shd w:val="clear" w:fill="FFFFFF"/>
        </w:rPr>
      </w:pPr>
      <w:r>
        <w:rPr>
          <w:rFonts w:hint="eastAsia" w:ascii="楷体_GB2312" w:hAnsi="楷体_GB2312" w:eastAsia="楷体_GB2312" w:cs="楷体_GB2312"/>
          <w:i w:val="0"/>
          <w:caps w:val="0"/>
          <w:color w:val="333333"/>
          <w:spacing w:val="0"/>
          <w:sz w:val="32"/>
          <w:szCs w:val="32"/>
          <w:shd w:val="clear" w:fill="FFFFFF"/>
          <w:lang w:eastAsia="zh-CN"/>
        </w:rPr>
        <w:t>（</w:t>
      </w:r>
      <w:r>
        <w:rPr>
          <w:rFonts w:hint="eastAsia" w:ascii="楷体_GB2312" w:hAnsi="楷体_GB2312" w:eastAsia="楷体_GB2312" w:cs="楷体_GB2312"/>
          <w:i w:val="0"/>
          <w:caps w:val="0"/>
          <w:color w:val="333333"/>
          <w:spacing w:val="0"/>
          <w:sz w:val="32"/>
          <w:szCs w:val="32"/>
          <w:shd w:val="clear" w:fill="FFFFFF"/>
          <w:lang w:val="en-US" w:eastAsia="zh-CN"/>
        </w:rPr>
        <w:t>二</w:t>
      </w:r>
      <w:r>
        <w:rPr>
          <w:rFonts w:hint="eastAsia" w:ascii="楷体_GB2312" w:hAnsi="楷体_GB2312" w:eastAsia="楷体_GB2312" w:cs="楷体_GB2312"/>
          <w:i w:val="0"/>
          <w:caps w:val="0"/>
          <w:color w:val="333333"/>
          <w:spacing w:val="0"/>
          <w:sz w:val="32"/>
          <w:szCs w:val="32"/>
          <w:shd w:val="clear" w:fill="FFFFFF"/>
          <w:lang w:eastAsia="zh-CN"/>
        </w:rPr>
        <w:t>）</w:t>
      </w:r>
      <w:r>
        <w:rPr>
          <w:rFonts w:hint="eastAsia" w:ascii="楷体_GB2312" w:hAnsi="楷体_GB2312" w:eastAsia="楷体_GB2312" w:cs="楷体_GB2312"/>
          <w:i w:val="0"/>
          <w:caps w:val="0"/>
          <w:color w:val="333333"/>
          <w:spacing w:val="0"/>
          <w:sz w:val="32"/>
          <w:szCs w:val="32"/>
          <w:shd w:val="clear" w:fill="FFFFFF"/>
        </w:rPr>
        <w:t>规范依申请公开信件办理。</w:t>
      </w:r>
      <w:r>
        <w:rPr>
          <w:rFonts w:hint="eastAsia" w:ascii="Times New Roman" w:hAnsi="Times New Roman" w:eastAsia="仿宋_GB2312" w:cs="仿宋_GB2312"/>
          <w:i w:val="0"/>
          <w:caps w:val="0"/>
          <w:color w:val="333333"/>
          <w:spacing w:val="0"/>
          <w:sz w:val="32"/>
          <w:szCs w:val="32"/>
          <w:shd w:val="clear" w:fill="FFFFFF"/>
          <w:lang w:eastAsia="zh-CN"/>
        </w:rPr>
        <w:t>一是强化法治意识，聘请法律顾问，</w:t>
      </w:r>
      <w:r>
        <w:rPr>
          <w:rFonts w:hint="eastAsia" w:ascii="Times New Roman" w:hAnsi="Times New Roman" w:eastAsia="仿宋_GB2312" w:cs="仿宋_GB2312"/>
          <w:i w:val="0"/>
          <w:caps w:val="0"/>
          <w:color w:val="333333"/>
          <w:spacing w:val="0"/>
          <w:sz w:val="32"/>
          <w:szCs w:val="32"/>
          <w:shd w:val="clear" w:fill="FFFFFF"/>
        </w:rPr>
        <w:t>凡作出依申请公开答复</w:t>
      </w:r>
      <w:r>
        <w:rPr>
          <w:rFonts w:hint="eastAsia" w:eastAsia="仿宋_GB2312" w:cs="仿宋_GB2312"/>
          <w:i w:val="0"/>
          <w:caps w:val="0"/>
          <w:color w:val="333333"/>
          <w:spacing w:val="0"/>
          <w:sz w:val="32"/>
          <w:szCs w:val="32"/>
          <w:shd w:val="clear" w:fill="FFFFFF"/>
          <w:lang w:eastAsia="zh-CN"/>
        </w:rPr>
        <w:t>均</w:t>
      </w:r>
      <w:r>
        <w:rPr>
          <w:rFonts w:hint="eastAsia" w:ascii="Times New Roman" w:hAnsi="Times New Roman" w:eastAsia="仿宋_GB2312" w:cs="仿宋_GB2312"/>
          <w:i w:val="0"/>
          <w:caps w:val="0"/>
          <w:color w:val="333333"/>
          <w:spacing w:val="0"/>
          <w:sz w:val="32"/>
          <w:szCs w:val="32"/>
          <w:shd w:val="clear" w:fill="FFFFFF"/>
        </w:rPr>
        <w:t>经过法律顾问审核，</w:t>
      </w:r>
      <w:r>
        <w:rPr>
          <w:rFonts w:hint="eastAsia" w:eastAsia="仿宋_GB2312" w:cs="仿宋_GB2312"/>
          <w:i w:val="0"/>
          <w:caps w:val="0"/>
          <w:color w:val="333333"/>
          <w:spacing w:val="0"/>
          <w:sz w:val="32"/>
          <w:szCs w:val="32"/>
          <w:shd w:val="clear" w:fill="FFFFFF"/>
          <w:lang w:eastAsia="zh-CN"/>
        </w:rPr>
        <w:t>确保</w:t>
      </w:r>
      <w:r>
        <w:rPr>
          <w:rFonts w:hint="eastAsia" w:ascii="Times New Roman" w:hAnsi="Times New Roman" w:eastAsia="仿宋_GB2312" w:cs="仿宋_GB2312"/>
          <w:i w:val="0"/>
          <w:caps w:val="0"/>
          <w:color w:val="333333"/>
          <w:spacing w:val="0"/>
          <w:sz w:val="32"/>
          <w:szCs w:val="32"/>
          <w:shd w:val="clear" w:fill="FFFFFF"/>
        </w:rPr>
        <w:t>依法</w:t>
      </w:r>
      <w:r>
        <w:rPr>
          <w:rFonts w:hint="eastAsia" w:eastAsia="仿宋_GB2312" w:cs="仿宋_GB2312"/>
          <w:i w:val="0"/>
          <w:caps w:val="0"/>
          <w:color w:val="333333"/>
          <w:spacing w:val="0"/>
          <w:sz w:val="32"/>
          <w:szCs w:val="32"/>
          <w:shd w:val="clear" w:fill="FFFFFF"/>
          <w:lang w:eastAsia="zh-CN"/>
        </w:rPr>
        <w:t>依规</w:t>
      </w:r>
      <w:r>
        <w:rPr>
          <w:rFonts w:hint="eastAsia" w:ascii="Times New Roman" w:hAnsi="Times New Roman" w:eastAsia="仿宋_GB2312" w:cs="仿宋_GB2312"/>
          <w:i w:val="0"/>
          <w:caps w:val="0"/>
          <w:color w:val="333333"/>
          <w:spacing w:val="0"/>
          <w:sz w:val="32"/>
          <w:szCs w:val="32"/>
          <w:shd w:val="clear" w:fill="FFFFFF"/>
        </w:rPr>
        <w:t>向当事人作出答复</w:t>
      </w:r>
      <w:r>
        <w:rPr>
          <w:rFonts w:hint="eastAsia" w:eastAsia="仿宋_GB2312" w:cs="仿宋_GB2312"/>
          <w:i w:val="0"/>
          <w:caps w:val="0"/>
          <w:color w:val="333333"/>
          <w:spacing w:val="0"/>
          <w:sz w:val="32"/>
          <w:szCs w:val="32"/>
          <w:shd w:val="clear" w:fill="FFFFFF"/>
          <w:lang w:eastAsia="zh-CN"/>
        </w:rPr>
        <w:t>。</w:t>
      </w:r>
      <w:r>
        <w:rPr>
          <w:rFonts w:hint="eastAsia" w:eastAsia="仿宋_GB2312" w:cs="仿宋_GB2312"/>
          <w:i w:val="0"/>
          <w:caps w:val="0"/>
          <w:color w:val="333333"/>
          <w:spacing w:val="0"/>
          <w:sz w:val="32"/>
          <w:szCs w:val="32"/>
          <w:shd w:val="clear" w:fill="FFFFFF"/>
          <w:lang w:val="en-US" w:eastAsia="zh-CN"/>
        </w:rPr>
        <w:t>2020年共收到依申请公开信件7件，均按时予以答复，未发生因信息公开而导致的行政复议和行政诉讼案件</w:t>
      </w:r>
      <w:r>
        <w:rPr>
          <w:rFonts w:hint="eastAsia" w:ascii="Times New Roman" w:hAnsi="Times New Roman" w:eastAsia="仿宋_GB2312" w:cs="仿宋_GB2312"/>
          <w:i w:val="0"/>
          <w:caps w:val="0"/>
          <w:color w:val="333333"/>
          <w:spacing w:val="0"/>
          <w:sz w:val="32"/>
          <w:szCs w:val="32"/>
          <w:shd w:val="clear" w:fill="FFFFFF"/>
        </w:rPr>
        <w:t>。二是做好依申请公开协助调查工作。严格遵循“事实清楚、依据充分、程序规范、内容全面、及时高效”的原则，依法依规配合办理相关信件。今年以来共办理依申请公开协助调查10件。三是实行台账化管理。按照上级标准建立依申请公开信件办理台账，对每一件依申请公开信件</w:t>
      </w:r>
      <w:r>
        <w:rPr>
          <w:rFonts w:hint="eastAsia" w:eastAsia="仿宋_GB2312" w:cs="仿宋_GB2312"/>
          <w:i w:val="0"/>
          <w:caps w:val="0"/>
          <w:color w:val="333333"/>
          <w:spacing w:val="0"/>
          <w:sz w:val="32"/>
          <w:szCs w:val="32"/>
          <w:shd w:val="clear" w:fill="FFFFFF"/>
          <w:lang w:eastAsia="zh-CN"/>
        </w:rPr>
        <w:t>办理情况进行登记管理</w:t>
      </w:r>
      <w:r>
        <w:rPr>
          <w:rFonts w:hint="eastAsia" w:ascii="Times New Roman" w:hAnsi="Times New Roman" w:eastAsia="仿宋_GB2312" w:cs="仿宋_GB2312"/>
          <w:i w:val="0"/>
          <w:caps w:val="0"/>
          <w:color w:val="333333"/>
          <w:spacing w:val="0"/>
          <w:sz w:val="32"/>
          <w:szCs w:val="32"/>
          <w:shd w:val="clear" w:fill="FFFFFF"/>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rPr>
          <w:rFonts w:hint="eastAsia" w:ascii="Times New Roman" w:hAnsi="Times New Roman" w:eastAsia="仿宋_GB2312" w:cs="仿宋_GB2312"/>
          <w:i w:val="0"/>
          <w:caps w:val="0"/>
          <w:color w:val="333333"/>
          <w:spacing w:val="0"/>
          <w:sz w:val="32"/>
          <w:szCs w:val="32"/>
          <w:shd w:val="clear" w:fill="FFFFFF"/>
          <w:lang w:eastAsia="zh-CN"/>
        </w:rPr>
      </w:pPr>
      <w:r>
        <w:rPr>
          <w:rFonts w:hint="eastAsia" w:ascii="楷体_GB2312" w:hAnsi="楷体_GB2312" w:eastAsia="楷体_GB2312" w:cs="楷体_GB2312"/>
          <w:i w:val="0"/>
          <w:caps w:val="0"/>
          <w:color w:val="333333"/>
          <w:spacing w:val="0"/>
          <w:sz w:val="32"/>
          <w:szCs w:val="32"/>
          <w:shd w:val="clear" w:fill="FFFFFF"/>
          <w:lang w:eastAsia="zh-CN"/>
        </w:rPr>
        <w:t>（</w:t>
      </w:r>
      <w:r>
        <w:rPr>
          <w:rFonts w:hint="eastAsia" w:ascii="楷体_GB2312" w:hAnsi="楷体_GB2312" w:eastAsia="楷体_GB2312" w:cs="楷体_GB2312"/>
          <w:i w:val="0"/>
          <w:caps w:val="0"/>
          <w:color w:val="333333"/>
          <w:spacing w:val="0"/>
          <w:sz w:val="32"/>
          <w:szCs w:val="32"/>
          <w:shd w:val="clear" w:fill="FFFFFF"/>
          <w:lang w:val="en-US" w:eastAsia="zh-CN"/>
        </w:rPr>
        <w:t>三</w:t>
      </w:r>
      <w:r>
        <w:rPr>
          <w:rFonts w:hint="eastAsia" w:ascii="楷体_GB2312" w:hAnsi="楷体_GB2312" w:eastAsia="楷体_GB2312" w:cs="楷体_GB2312"/>
          <w:i w:val="0"/>
          <w:caps w:val="0"/>
          <w:color w:val="333333"/>
          <w:spacing w:val="0"/>
          <w:sz w:val="32"/>
          <w:szCs w:val="32"/>
          <w:shd w:val="clear" w:fill="FFFFFF"/>
          <w:lang w:eastAsia="zh-CN"/>
        </w:rPr>
        <w:t>）</w:t>
      </w:r>
      <w:r>
        <w:rPr>
          <w:rFonts w:hint="eastAsia" w:ascii="楷体_GB2312" w:hAnsi="楷体_GB2312" w:eastAsia="楷体_GB2312" w:cs="楷体_GB2312"/>
          <w:i w:val="0"/>
          <w:caps w:val="0"/>
          <w:color w:val="333333"/>
          <w:spacing w:val="0"/>
          <w:sz w:val="32"/>
          <w:szCs w:val="32"/>
          <w:shd w:val="clear" w:fill="FFFFFF"/>
          <w:lang w:val="en-US" w:eastAsia="zh-CN"/>
        </w:rPr>
        <w:t>政府信息管理。</w:t>
      </w:r>
      <w:r>
        <w:rPr>
          <w:rFonts w:hint="eastAsia" w:eastAsia="仿宋_GB2312" w:cs="仿宋_GB2312"/>
          <w:i w:val="0"/>
          <w:caps w:val="0"/>
          <w:color w:val="333333"/>
          <w:spacing w:val="0"/>
          <w:sz w:val="32"/>
          <w:szCs w:val="32"/>
          <w:shd w:val="clear" w:fill="FFFFFF"/>
          <w:lang w:eastAsia="zh-CN"/>
        </w:rPr>
        <w:t>严格按照《山东省政府信息公开保密审查制度（试行）》要求，坚持“谁公开、谁审查，谁审查、谁负责，先审查、后公开”的原则，落实保密审查责任，严禁涉密信息上网公开。</w:t>
      </w:r>
      <w:r>
        <w:rPr>
          <w:rFonts w:hint="eastAsia" w:ascii="Times New Roman" w:hAnsi="Times New Roman" w:eastAsia="仿宋_GB2312" w:cs="仿宋_GB2312"/>
          <w:i w:val="0"/>
          <w:caps w:val="0"/>
          <w:color w:val="333333"/>
          <w:spacing w:val="0"/>
          <w:sz w:val="32"/>
          <w:szCs w:val="32"/>
          <w:shd w:val="clear" w:fill="FFFFFF"/>
        </w:rPr>
        <w:t>注重对政府信息的全流程管理，在及时、准确、全面发布政府信息的同时，加强规范性文件的管理，对以区管委名义发布的规范性文件进行了全面清理，并发布了《关于公布规范性文件清理结果的通知》以及现行有效的规范性文件目录清单，失效文件及时在管委网站进行了标注</w:t>
      </w:r>
      <w:r>
        <w:rPr>
          <w:rFonts w:hint="eastAsia" w:eastAsia="仿宋_GB2312" w:cs="仿宋_GB2312"/>
          <w:i w:val="0"/>
          <w:caps w:val="0"/>
          <w:color w:val="333333"/>
          <w:spacing w:val="0"/>
          <w:sz w:val="32"/>
          <w:szCs w:val="32"/>
          <w:shd w:val="clear" w:fill="FFFFFF"/>
          <w:lang w:eastAsia="zh-CN"/>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rPr>
          <w:rFonts w:hint="eastAsia" w:ascii="Times New Roman" w:hAnsi="Times New Roman" w:eastAsia="仿宋_GB2312" w:cs="仿宋_GB2312"/>
          <w:i w:val="0"/>
          <w:caps w:val="0"/>
          <w:color w:val="333333"/>
          <w:spacing w:val="0"/>
          <w:sz w:val="32"/>
          <w:szCs w:val="32"/>
          <w:shd w:val="clear" w:fill="FFFFFF"/>
        </w:rPr>
      </w:pPr>
      <w:r>
        <w:rPr>
          <w:rFonts w:hint="eastAsia" w:ascii="楷体_GB2312" w:hAnsi="楷体_GB2312" w:eastAsia="楷体_GB2312" w:cs="楷体_GB2312"/>
          <w:i w:val="0"/>
          <w:caps w:val="0"/>
          <w:color w:val="333333"/>
          <w:spacing w:val="0"/>
          <w:sz w:val="32"/>
          <w:szCs w:val="32"/>
          <w:shd w:val="clear" w:fill="FFFFFF"/>
          <w:lang w:eastAsia="zh-CN"/>
        </w:rPr>
        <w:t>（</w:t>
      </w:r>
      <w:r>
        <w:rPr>
          <w:rFonts w:hint="eastAsia" w:ascii="楷体_GB2312" w:hAnsi="楷体_GB2312" w:eastAsia="楷体_GB2312" w:cs="楷体_GB2312"/>
          <w:i w:val="0"/>
          <w:caps w:val="0"/>
          <w:color w:val="333333"/>
          <w:spacing w:val="0"/>
          <w:sz w:val="32"/>
          <w:szCs w:val="32"/>
          <w:shd w:val="clear" w:fill="FFFFFF"/>
          <w:lang w:val="en-US" w:eastAsia="zh-CN"/>
        </w:rPr>
        <w:t>四</w:t>
      </w:r>
      <w:r>
        <w:rPr>
          <w:rFonts w:hint="eastAsia" w:ascii="楷体_GB2312" w:hAnsi="楷体_GB2312" w:eastAsia="楷体_GB2312" w:cs="楷体_GB2312"/>
          <w:i w:val="0"/>
          <w:caps w:val="0"/>
          <w:color w:val="333333"/>
          <w:spacing w:val="0"/>
          <w:sz w:val="32"/>
          <w:szCs w:val="32"/>
          <w:shd w:val="clear" w:fill="FFFFFF"/>
          <w:lang w:eastAsia="zh-CN"/>
        </w:rPr>
        <w:t>）</w:t>
      </w:r>
      <w:r>
        <w:rPr>
          <w:rFonts w:hint="eastAsia" w:ascii="楷体_GB2312" w:hAnsi="楷体_GB2312" w:eastAsia="楷体_GB2312" w:cs="楷体_GB2312"/>
          <w:i w:val="0"/>
          <w:caps w:val="0"/>
          <w:color w:val="333333"/>
          <w:spacing w:val="0"/>
          <w:sz w:val="32"/>
          <w:szCs w:val="32"/>
          <w:shd w:val="clear" w:fill="FFFFFF"/>
          <w:lang w:val="en-US" w:eastAsia="zh-CN"/>
        </w:rPr>
        <w:t>平台建设。</w:t>
      </w:r>
      <w:r>
        <w:rPr>
          <w:rFonts w:hint="eastAsia" w:eastAsia="仿宋_GB2312" w:cs="仿宋_GB2312"/>
          <w:i w:val="0"/>
          <w:caps w:val="0"/>
          <w:color w:val="333333"/>
          <w:spacing w:val="0"/>
          <w:sz w:val="32"/>
          <w:szCs w:val="32"/>
          <w:shd w:val="clear" w:fill="FFFFFF"/>
          <w:lang w:eastAsia="zh-CN"/>
        </w:rPr>
        <w:t>强化网站政务公开平台建设，及时根据体制机制改革工作对网站后台进行调整，确保了体制机制改革期间信息公开不断档。严格按照上级要求加强政务新媒体管理，对体制机制改革后撤销的部门、单位及时下发工作提醒，对政务新媒体账号进行注销、关停处理，保证了政务新媒体的权威性。</w:t>
      </w:r>
      <w:r>
        <w:rPr>
          <w:rFonts w:hint="eastAsia" w:ascii="Times New Roman" w:hAnsi="Times New Roman" w:eastAsia="仿宋_GB2312" w:cs="仿宋_GB2312"/>
          <w:i w:val="0"/>
          <w:caps w:val="0"/>
          <w:color w:val="333333"/>
          <w:spacing w:val="0"/>
          <w:sz w:val="32"/>
          <w:szCs w:val="32"/>
          <w:shd w:val="clear" w:fill="FFFFFF"/>
        </w:rPr>
        <w:t>政务微博粉丝数名列全市第一，政务微信和政务网站连续获评国家级高新区综合影响力领先奖，全方位、高频率的宣传对提升区域影响力，构建威海高新区品牌形象提供了强大支持。成为国家高新区融媒体建设联盟理事会副理事长单位，受聘为《中国高新技术产业导报》特约通讯员单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rPr>
          <w:rFonts w:hint="eastAsia" w:eastAsia="仿宋_GB2312" w:cs="仿宋_GB2312"/>
          <w:i w:val="0"/>
          <w:caps w:val="0"/>
          <w:color w:val="333333"/>
          <w:spacing w:val="0"/>
          <w:sz w:val="32"/>
          <w:szCs w:val="32"/>
          <w:shd w:val="clear" w:fill="FFFFFF"/>
          <w:lang w:val="en-US" w:eastAsia="zh-CN"/>
        </w:rPr>
      </w:pPr>
      <w:r>
        <w:rPr>
          <w:rFonts w:hint="eastAsia" w:eastAsia="仿宋_GB2312" w:cs="仿宋_GB2312"/>
          <w:i w:val="0"/>
          <w:caps w:val="0"/>
          <w:color w:val="333333"/>
          <w:spacing w:val="0"/>
          <w:sz w:val="32"/>
          <w:szCs w:val="32"/>
          <w:shd w:val="clear" w:fill="FFFFFF"/>
          <w:lang w:val="en-US" w:eastAsia="zh-CN"/>
        </w:rPr>
        <w:drawing>
          <wp:anchor distT="0" distB="0" distL="114300" distR="114300" simplePos="0" relativeHeight="251662336" behindDoc="0" locked="0" layoutInCell="1" allowOverlap="1">
            <wp:simplePos x="0" y="0"/>
            <wp:positionH relativeFrom="column">
              <wp:posOffset>1400175</wp:posOffset>
            </wp:positionH>
            <wp:positionV relativeFrom="paragraph">
              <wp:posOffset>1605915</wp:posOffset>
            </wp:positionV>
            <wp:extent cx="4300220" cy="3225165"/>
            <wp:effectExtent l="0" t="0" r="5080" b="13335"/>
            <wp:wrapSquare wrapText="bothSides"/>
            <wp:docPr id="5" name="图片 5" descr="8月6日全市政务公开培训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8月6日全市政务公开培训班"/>
                    <pic:cNvPicPr>
                      <a:picLocks noChangeAspect="1"/>
                    </pic:cNvPicPr>
                  </pic:nvPicPr>
                  <pic:blipFill>
                    <a:blip r:embed="rId8"/>
                    <a:stretch>
                      <a:fillRect/>
                    </a:stretch>
                  </pic:blipFill>
                  <pic:spPr>
                    <a:xfrm>
                      <a:off x="0" y="0"/>
                      <a:ext cx="4300220" cy="3225165"/>
                    </a:xfrm>
                    <a:prstGeom prst="rect">
                      <a:avLst/>
                    </a:prstGeom>
                  </pic:spPr>
                </pic:pic>
              </a:graphicData>
            </a:graphic>
          </wp:anchor>
        </w:drawing>
      </w:r>
      <w:r>
        <w:rPr>
          <w:rFonts w:hint="eastAsia" w:ascii="楷体_GB2312" w:hAnsi="楷体_GB2312" w:eastAsia="楷体_GB2312" w:cs="楷体_GB2312"/>
          <w:i w:val="0"/>
          <w:caps w:val="0"/>
          <w:color w:val="333333"/>
          <w:spacing w:val="0"/>
          <w:sz w:val="32"/>
          <w:szCs w:val="32"/>
          <w:shd w:val="clear" w:fill="FFFFFF"/>
          <w:lang w:eastAsia="zh-CN"/>
        </w:rPr>
        <w:t>（</w:t>
      </w:r>
      <w:r>
        <w:rPr>
          <w:rFonts w:hint="eastAsia" w:ascii="楷体_GB2312" w:hAnsi="楷体_GB2312" w:eastAsia="楷体_GB2312" w:cs="楷体_GB2312"/>
          <w:i w:val="0"/>
          <w:caps w:val="0"/>
          <w:color w:val="333333"/>
          <w:spacing w:val="0"/>
          <w:sz w:val="32"/>
          <w:szCs w:val="32"/>
          <w:shd w:val="clear" w:fill="FFFFFF"/>
          <w:lang w:val="en-US" w:eastAsia="zh-CN"/>
        </w:rPr>
        <w:t>五</w:t>
      </w:r>
      <w:r>
        <w:rPr>
          <w:rFonts w:hint="eastAsia" w:ascii="楷体_GB2312" w:hAnsi="楷体_GB2312" w:eastAsia="楷体_GB2312" w:cs="楷体_GB2312"/>
          <w:i w:val="0"/>
          <w:caps w:val="0"/>
          <w:color w:val="333333"/>
          <w:spacing w:val="0"/>
          <w:sz w:val="32"/>
          <w:szCs w:val="32"/>
          <w:shd w:val="clear" w:fill="FFFFFF"/>
          <w:lang w:eastAsia="zh-CN"/>
        </w:rPr>
        <w:t>）</w:t>
      </w:r>
      <w:r>
        <w:rPr>
          <w:rFonts w:hint="eastAsia" w:ascii="楷体_GB2312" w:hAnsi="楷体_GB2312" w:eastAsia="楷体_GB2312" w:cs="楷体_GB2312"/>
          <w:i w:val="0"/>
          <w:caps w:val="0"/>
          <w:color w:val="333333"/>
          <w:spacing w:val="0"/>
          <w:sz w:val="32"/>
          <w:szCs w:val="32"/>
          <w:shd w:val="clear" w:fill="FFFFFF"/>
          <w:lang w:val="en-US" w:eastAsia="zh-CN"/>
        </w:rPr>
        <w:t>监督保障。</w:t>
      </w:r>
      <w:r>
        <w:rPr>
          <w:rFonts w:hint="eastAsia" w:eastAsia="仿宋_GB2312" w:cs="仿宋_GB2312"/>
          <w:i w:val="0"/>
          <w:caps w:val="0"/>
          <w:color w:val="333333"/>
          <w:spacing w:val="0"/>
          <w:sz w:val="32"/>
          <w:szCs w:val="32"/>
          <w:shd w:val="clear" w:fill="FFFFFF"/>
          <w:lang w:val="en-US" w:eastAsia="zh-CN"/>
        </w:rPr>
        <w:t>一是</w:t>
      </w:r>
      <w:r>
        <w:rPr>
          <w:rFonts w:hint="eastAsia" w:ascii="Times New Roman" w:hAnsi="Times New Roman" w:eastAsia="仿宋_GB2312" w:cs="仿宋_GB2312"/>
          <w:i w:val="0"/>
          <w:caps w:val="0"/>
          <w:color w:val="333333"/>
          <w:spacing w:val="0"/>
          <w:sz w:val="32"/>
          <w:szCs w:val="32"/>
          <w:shd w:val="clear" w:fill="FFFFFF"/>
        </w:rPr>
        <w:t>加大对</w:t>
      </w:r>
      <w:r>
        <w:rPr>
          <w:rFonts w:hint="eastAsia" w:eastAsia="仿宋_GB2312" w:cs="仿宋_GB2312"/>
          <w:i w:val="0"/>
          <w:caps w:val="0"/>
          <w:color w:val="333333"/>
          <w:spacing w:val="0"/>
          <w:sz w:val="32"/>
          <w:szCs w:val="32"/>
          <w:shd w:val="clear" w:fill="FFFFFF"/>
          <w:lang w:eastAsia="zh-CN"/>
        </w:rPr>
        <w:t>政务公开工作</w:t>
      </w:r>
      <w:r>
        <w:rPr>
          <w:rFonts w:hint="eastAsia" w:ascii="Times New Roman" w:hAnsi="Times New Roman" w:eastAsia="仿宋_GB2312" w:cs="仿宋_GB2312"/>
          <w:i w:val="0"/>
          <w:caps w:val="0"/>
          <w:color w:val="333333"/>
          <w:spacing w:val="0"/>
          <w:sz w:val="32"/>
          <w:szCs w:val="32"/>
          <w:shd w:val="clear" w:fill="FFFFFF"/>
        </w:rPr>
        <w:t>的</w:t>
      </w:r>
      <w:r>
        <w:rPr>
          <w:rFonts w:hint="eastAsia" w:eastAsia="仿宋_GB2312" w:cs="仿宋_GB2312"/>
          <w:i w:val="0"/>
          <w:caps w:val="0"/>
          <w:color w:val="333333"/>
          <w:spacing w:val="0"/>
          <w:sz w:val="32"/>
          <w:szCs w:val="32"/>
          <w:shd w:val="clear" w:fill="FFFFFF"/>
          <w:lang w:eastAsia="zh-CN"/>
        </w:rPr>
        <w:t>培训</w:t>
      </w:r>
      <w:r>
        <w:rPr>
          <w:rFonts w:hint="eastAsia" w:ascii="Times New Roman" w:hAnsi="Times New Roman" w:eastAsia="仿宋_GB2312" w:cs="仿宋_GB2312"/>
          <w:i w:val="0"/>
          <w:caps w:val="0"/>
          <w:color w:val="333333"/>
          <w:spacing w:val="0"/>
          <w:sz w:val="32"/>
          <w:szCs w:val="32"/>
          <w:shd w:val="clear" w:fill="FFFFFF"/>
        </w:rPr>
        <w:t>力度，组织</w:t>
      </w:r>
      <w:r>
        <w:rPr>
          <w:rFonts w:hint="eastAsia" w:eastAsia="仿宋_GB2312" w:cs="仿宋_GB2312"/>
          <w:i w:val="0"/>
          <w:caps w:val="0"/>
          <w:color w:val="333333"/>
          <w:spacing w:val="0"/>
          <w:sz w:val="32"/>
          <w:szCs w:val="32"/>
          <w:shd w:val="clear" w:fill="FFFFFF"/>
          <w:lang w:eastAsia="zh-CN"/>
        </w:rPr>
        <w:t>在区直各部门、镇街办公室主任及具体工作人员参加了全市</w:t>
      </w:r>
      <w:r>
        <w:rPr>
          <w:rFonts w:hint="eastAsia" w:ascii="Times New Roman" w:hAnsi="Times New Roman" w:eastAsia="仿宋_GB2312" w:cs="仿宋_GB2312"/>
          <w:i w:val="0"/>
          <w:caps w:val="0"/>
          <w:color w:val="333333"/>
          <w:spacing w:val="0"/>
          <w:sz w:val="32"/>
          <w:szCs w:val="32"/>
          <w:shd w:val="clear" w:fill="FFFFFF"/>
        </w:rPr>
        <w:t>政务公开工作培训</w:t>
      </w:r>
      <w:r>
        <w:rPr>
          <w:rFonts w:hint="eastAsia" w:eastAsia="仿宋_GB2312" w:cs="仿宋_GB2312"/>
          <w:i w:val="0"/>
          <w:caps w:val="0"/>
          <w:color w:val="333333"/>
          <w:spacing w:val="0"/>
          <w:sz w:val="32"/>
          <w:szCs w:val="32"/>
          <w:shd w:val="clear" w:fill="FFFFFF"/>
          <w:lang w:eastAsia="zh-CN"/>
        </w:rPr>
        <w:t>会</w:t>
      </w:r>
      <w:r>
        <w:rPr>
          <w:rFonts w:hint="eastAsia" w:ascii="Times New Roman" w:hAnsi="Times New Roman" w:eastAsia="仿宋_GB2312" w:cs="仿宋_GB2312"/>
          <w:i w:val="0"/>
          <w:caps w:val="0"/>
          <w:color w:val="333333"/>
          <w:spacing w:val="0"/>
          <w:sz w:val="32"/>
          <w:szCs w:val="32"/>
          <w:shd w:val="clear" w:fill="FFFFFF"/>
        </w:rPr>
        <w:t>，</w:t>
      </w:r>
      <w:r>
        <w:rPr>
          <w:rFonts w:hint="eastAsia" w:eastAsia="仿宋_GB2312" w:cs="仿宋_GB2312"/>
          <w:i w:val="0"/>
          <w:caps w:val="0"/>
          <w:color w:val="333333"/>
          <w:spacing w:val="0"/>
          <w:sz w:val="32"/>
          <w:szCs w:val="32"/>
          <w:shd w:val="clear" w:fill="FFFFFF"/>
          <w:lang w:eastAsia="zh-CN"/>
        </w:rPr>
        <w:t>有力</w:t>
      </w:r>
      <w:r>
        <w:rPr>
          <w:rFonts w:hint="eastAsia" w:ascii="Times New Roman" w:hAnsi="Times New Roman" w:eastAsia="仿宋_GB2312" w:cs="仿宋_GB2312"/>
          <w:i w:val="0"/>
          <w:caps w:val="0"/>
          <w:color w:val="333333"/>
          <w:spacing w:val="0"/>
          <w:sz w:val="32"/>
          <w:szCs w:val="32"/>
          <w:shd w:val="clear" w:fill="FFFFFF"/>
        </w:rPr>
        <w:t>促进了政务公开工作</w:t>
      </w:r>
      <w:r>
        <w:rPr>
          <w:rFonts w:hint="eastAsia" w:eastAsia="仿宋_GB2312" w:cs="仿宋_GB2312"/>
          <w:i w:val="0"/>
          <w:caps w:val="0"/>
          <w:color w:val="333333"/>
          <w:spacing w:val="0"/>
          <w:sz w:val="32"/>
          <w:szCs w:val="32"/>
          <w:shd w:val="clear" w:fill="FFFFFF"/>
          <w:lang w:eastAsia="zh-CN"/>
        </w:rPr>
        <w:t>落实。</w:t>
      </w:r>
      <w:r>
        <w:rPr>
          <w:rFonts w:hint="eastAsia" w:eastAsia="仿宋_GB2312" w:cs="仿宋_GB2312"/>
          <w:i w:val="0"/>
          <w:caps w:val="0"/>
          <w:color w:val="333333"/>
          <w:spacing w:val="0"/>
          <w:sz w:val="32"/>
          <w:szCs w:val="32"/>
          <w:shd w:val="clear" w:fill="FFFFFF"/>
          <w:lang w:val="en-US" w:eastAsia="zh-CN"/>
        </w:rPr>
        <w:t>二是</w:t>
      </w:r>
      <w:r>
        <w:rPr>
          <w:rFonts w:hint="eastAsia" w:eastAsia="仿宋_GB2312" w:cs="仿宋_GB2312"/>
          <w:i w:val="0"/>
          <w:caps w:val="0"/>
          <w:color w:val="333333"/>
          <w:spacing w:val="0"/>
          <w:sz w:val="32"/>
          <w:szCs w:val="32"/>
          <w:shd w:val="clear" w:fill="FFFFFF"/>
          <w:lang w:eastAsia="zh-CN"/>
        </w:rPr>
        <w:t>加强对《条例》的宣传力度，结合</w:t>
      </w:r>
      <w:r>
        <w:rPr>
          <w:rFonts w:hint="eastAsia" w:eastAsia="仿宋_GB2312" w:cs="仿宋_GB2312"/>
          <w:i w:val="0"/>
          <w:caps w:val="0"/>
          <w:color w:val="333333"/>
          <w:spacing w:val="0"/>
          <w:sz w:val="32"/>
          <w:szCs w:val="32"/>
          <w:shd w:val="clear" w:fill="FFFFFF"/>
          <w:lang w:val="en-US" w:eastAsia="zh-CN"/>
        </w:rPr>
        <w:t>12.4宪法日活动开展《条例》宣传工作，活动中，共向群众发放《中华人民共和国政府信息公开条例》手册以及普法宣传彩页200余份，并面对面解答群众法律咨询，进一步提升了群众法治观念，保障了群众的知情权，使政务公开工作更加便民利民，取得了良好的宣传效果。三是对依申请公开工作进行监督。要求区直各部门、各镇街对收到的依申请公开信件及时报党政办公室备案，审查，确保依申请公开工作有序开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ind w:left="0" w:right="0" w:firstLine="420"/>
        <w:jc w:val="both"/>
        <w:rPr>
          <w:rFonts w:hint="eastAsia" w:ascii="Times New Roman" w:hAnsi="Times New Roman" w:eastAsia="宋体" w:cs="宋体"/>
          <w:i w:val="0"/>
          <w:caps w:val="0"/>
          <w:color w:val="333333"/>
          <w:spacing w:val="0"/>
          <w:sz w:val="24"/>
          <w:szCs w:val="24"/>
        </w:rPr>
      </w:pPr>
      <w:r>
        <w:rPr>
          <w:rFonts w:hint="eastAsia" w:ascii="Times New Roman" w:hAnsi="Times New Roman" w:eastAsia="黑体" w:cs="黑体"/>
          <w:b w:val="0"/>
          <w:bCs/>
          <w:i w:val="0"/>
          <w:caps w:val="0"/>
          <w:color w:val="333333"/>
          <w:spacing w:val="0"/>
          <w:sz w:val="32"/>
          <w:szCs w:val="32"/>
          <w:shd w:val="clear" w:fill="FFFFFF"/>
        </w:rPr>
        <w:t>二、主动公开政府信息情况</w:t>
      </w:r>
    </w:p>
    <w:tbl>
      <w:tblPr>
        <w:tblStyle w:val="4"/>
        <w:tblW w:w="8140" w:type="dxa"/>
        <w:jc w:val="center"/>
        <w:tblInd w:w="0" w:type="dxa"/>
        <w:shd w:val="clear" w:color="auto" w:fill="auto"/>
        <w:tblLayout w:type="fixed"/>
        <w:tblCellMar>
          <w:top w:w="0" w:type="dxa"/>
          <w:left w:w="0" w:type="dxa"/>
          <w:bottom w:w="0" w:type="dxa"/>
          <w:right w:w="0" w:type="dxa"/>
        </w:tblCellMar>
      </w:tblPr>
      <w:tblGrid>
        <w:gridCol w:w="3113"/>
        <w:gridCol w:w="1869"/>
        <w:gridCol w:w="1277"/>
        <w:gridCol w:w="1881"/>
      </w:tblGrid>
      <w:tr>
        <w:tblPrEx>
          <w:tblLayout w:type="fixed"/>
          <w:tblCellMar>
            <w:top w:w="0" w:type="dxa"/>
            <w:left w:w="0" w:type="dxa"/>
            <w:bottom w:w="0" w:type="dxa"/>
            <w:right w:w="0" w:type="dxa"/>
          </w:tblCellMar>
        </w:tblPrEx>
        <w:trPr>
          <w:trHeight w:val="495" w:hRule="atLeast"/>
          <w:jc w:val="center"/>
        </w:trPr>
        <w:tc>
          <w:tcPr>
            <w:tcW w:w="8140" w:type="dxa"/>
            <w:gridSpan w:val="4"/>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rPr>
            </w:pPr>
            <w:r>
              <w:rPr>
                <w:rFonts w:hint="eastAsia" w:ascii="Times New Roman" w:hAnsi="Times New Roman" w:eastAsia="宋体" w:cs="宋体"/>
                <w:color w:val="000000"/>
                <w:kern w:val="0"/>
                <w:sz w:val="32"/>
                <w:szCs w:val="32"/>
                <w:lang w:val="en-US" w:eastAsia="zh-CN" w:bidi="ar"/>
              </w:rPr>
              <w:t>第二十条第（一）项</w:t>
            </w:r>
          </w:p>
        </w:tc>
      </w:tr>
      <w:tr>
        <w:tblPrEx>
          <w:tblLayout w:type="fixed"/>
          <w:tblCellMar>
            <w:top w:w="0" w:type="dxa"/>
            <w:left w:w="0" w:type="dxa"/>
            <w:bottom w:w="0" w:type="dxa"/>
            <w:right w:w="0"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sz w:val="30"/>
                <w:szCs w:val="30"/>
              </w:rPr>
            </w:pPr>
            <w:r>
              <w:rPr>
                <w:rFonts w:hint="eastAsia" w:ascii="Times New Roman" w:hAnsi="Times New Roman" w:eastAsia="仿宋_GB2312" w:cs="仿宋_GB2312"/>
                <w:color w:val="000000"/>
                <w:kern w:val="0"/>
                <w:sz w:val="30"/>
                <w:szCs w:val="30"/>
                <w:lang w:val="en-US" w:eastAsia="zh-CN" w:bidi="ar"/>
              </w:rPr>
              <w:t>信息内容</w:t>
            </w:r>
          </w:p>
        </w:tc>
        <w:tc>
          <w:tcPr>
            <w:tcW w:w="1869"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sz w:val="30"/>
                <w:szCs w:val="30"/>
              </w:rPr>
            </w:pPr>
            <w:r>
              <w:rPr>
                <w:rFonts w:hint="eastAsia" w:ascii="Times New Roman" w:hAnsi="Times New Roman" w:eastAsia="仿宋_GB2312" w:cs="仿宋_GB2312"/>
                <w:color w:val="000000"/>
                <w:kern w:val="0"/>
                <w:sz w:val="30"/>
                <w:szCs w:val="30"/>
                <w:lang w:val="en-US" w:eastAsia="zh-CN" w:bidi="ar"/>
              </w:rPr>
              <w:t>本年新</w:t>
            </w:r>
            <w:r>
              <w:rPr>
                <w:rFonts w:hint="eastAsia" w:ascii="Times New Roman" w:hAnsi="Times New Roman" w:eastAsia="仿宋_GB2312" w:cs="仿宋_GB2312"/>
                <w:color w:val="000000"/>
                <w:kern w:val="0"/>
                <w:sz w:val="30"/>
                <w:szCs w:val="30"/>
                <w:lang w:val="en-US" w:eastAsia="zh-CN" w:bidi="ar"/>
              </w:rPr>
              <w:br w:type="textWrapping"/>
            </w:r>
            <w:r>
              <w:rPr>
                <w:rFonts w:hint="eastAsia" w:ascii="Times New Roman" w:hAnsi="Times New Roman" w:eastAsia="仿宋_GB2312" w:cs="仿宋_GB2312"/>
                <w:kern w:val="0"/>
                <w:sz w:val="30"/>
                <w:szCs w:val="30"/>
                <w:lang w:val="en-US" w:eastAsia="zh-CN" w:bidi="ar"/>
              </w:rPr>
              <w:t>制作数量</w:t>
            </w:r>
          </w:p>
        </w:tc>
        <w:tc>
          <w:tcPr>
            <w:tcW w:w="127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sz w:val="30"/>
                <w:szCs w:val="30"/>
              </w:rPr>
            </w:pPr>
            <w:r>
              <w:rPr>
                <w:rFonts w:hint="eastAsia" w:ascii="Times New Roman" w:hAnsi="Times New Roman" w:eastAsia="仿宋_GB2312" w:cs="仿宋_GB2312"/>
                <w:color w:val="000000"/>
                <w:kern w:val="0"/>
                <w:sz w:val="30"/>
                <w:szCs w:val="30"/>
                <w:lang w:val="en-US" w:eastAsia="zh-CN" w:bidi="ar"/>
              </w:rPr>
              <w:t>本年新</w:t>
            </w:r>
            <w:r>
              <w:rPr>
                <w:rFonts w:hint="eastAsia" w:ascii="Times New Roman" w:hAnsi="Times New Roman" w:eastAsia="仿宋_GB2312" w:cs="仿宋_GB2312"/>
                <w:color w:val="000000"/>
                <w:kern w:val="0"/>
                <w:sz w:val="30"/>
                <w:szCs w:val="30"/>
                <w:lang w:val="en-US" w:eastAsia="zh-CN" w:bidi="ar"/>
              </w:rPr>
              <w:br w:type="textWrapping"/>
            </w:r>
            <w:r>
              <w:rPr>
                <w:rFonts w:hint="eastAsia" w:ascii="Times New Roman" w:hAnsi="Times New Roman" w:eastAsia="仿宋_GB2312" w:cs="仿宋_GB2312"/>
                <w:kern w:val="0"/>
                <w:sz w:val="30"/>
                <w:szCs w:val="30"/>
                <w:lang w:val="en-US" w:eastAsia="zh-CN" w:bidi="ar"/>
              </w:rPr>
              <w:t>公开数量</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sz w:val="30"/>
                <w:szCs w:val="30"/>
              </w:rPr>
            </w:pPr>
            <w:r>
              <w:rPr>
                <w:rFonts w:hint="eastAsia" w:ascii="Times New Roman" w:hAnsi="Times New Roman" w:eastAsia="仿宋_GB2312" w:cs="仿宋_GB2312"/>
                <w:color w:val="000000"/>
                <w:kern w:val="0"/>
                <w:sz w:val="30"/>
                <w:szCs w:val="30"/>
                <w:lang w:val="en-US" w:eastAsia="zh-CN" w:bidi="ar"/>
              </w:rPr>
              <w:t>对外公开总数量</w:t>
            </w:r>
          </w:p>
        </w:tc>
      </w:tr>
      <w:tr>
        <w:tblPrEx>
          <w:shd w:val="clear" w:color="auto" w:fill="auto"/>
          <w:tblLayout w:type="fixed"/>
          <w:tblCellMar>
            <w:top w:w="0" w:type="dxa"/>
            <w:left w:w="0" w:type="dxa"/>
            <w:bottom w:w="0" w:type="dxa"/>
            <w:right w:w="0"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规章</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r>
      <w:tr>
        <w:tblPrEx>
          <w:shd w:val="clear" w:color="auto" w:fill="auto"/>
          <w:tblLayout w:type="fixed"/>
          <w:tblCellMar>
            <w:top w:w="0" w:type="dxa"/>
            <w:left w:w="0" w:type="dxa"/>
            <w:bottom w:w="0" w:type="dxa"/>
            <w:right w:w="0"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规范性文件</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r>
      <w:tr>
        <w:tblPrEx>
          <w:shd w:val="clear" w:color="auto" w:fill="auto"/>
          <w:tblLayout w:type="fixed"/>
          <w:tblCellMar>
            <w:top w:w="0" w:type="dxa"/>
            <w:left w:w="0" w:type="dxa"/>
            <w:bottom w:w="0" w:type="dxa"/>
            <w:right w:w="0" w:type="dxa"/>
          </w:tblCellMar>
        </w:tblPrEx>
        <w:trPr>
          <w:trHeight w:val="480"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rPr>
            </w:pPr>
            <w:r>
              <w:rPr>
                <w:rFonts w:hint="eastAsia" w:ascii="Times New Roman" w:hAnsi="Times New Roman" w:eastAsia="宋体" w:cs="宋体"/>
                <w:color w:val="000000"/>
                <w:kern w:val="0"/>
                <w:sz w:val="32"/>
                <w:szCs w:val="32"/>
                <w:lang w:val="en-US" w:eastAsia="zh-CN" w:bidi="ar"/>
              </w:rPr>
              <w:t>第二十条第（五）项</w:t>
            </w:r>
          </w:p>
        </w:tc>
      </w:tr>
      <w:tr>
        <w:tblPrEx>
          <w:tblLayout w:type="fixed"/>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信息内容</w:t>
            </w:r>
          </w:p>
        </w:tc>
        <w:tc>
          <w:tcPr>
            <w:tcW w:w="1869"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上一年项目数量</w:t>
            </w:r>
          </w:p>
        </w:tc>
        <w:tc>
          <w:tcPr>
            <w:tcW w:w="127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本年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增/减</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处理决定数量</w:t>
            </w:r>
          </w:p>
        </w:tc>
      </w:tr>
      <w:tr>
        <w:tblPrEx>
          <w:tblLayout w:type="fixed"/>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行政许可</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r>
      <w:tr>
        <w:tblPrEx>
          <w:shd w:val="clear" w:color="auto" w:fill="auto"/>
          <w:tblLayout w:type="fixed"/>
          <w:tblCellMar>
            <w:top w:w="0" w:type="dxa"/>
            <w:left w:w="0" w:type="dxa"/>
            <w:bottom w:w="0" w:type="dxa"/>
            <w:right w:w="0"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其他对外管理服务事项</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3</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+1</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　</w:t>
            </w:r>
          </w:p>
        </w:tc>
      </w:tr>
      <w:tr>
        <w:tblPrEx>
          <w:shd w:val="clear" w:color="auto" w:fill="auto"/>
          <w:tblLayout w:type="fixed"/>
          <w:tblCellMar>
            <w:top w:w="0" w:type="dxa"/>
            <w:left w:w="0" w:type="dxa"/>
            <w:bottom w:w="0" w:type="dxa"/>
            <w:right w:w="0" w:type="dxa"/>
          </w:tblCellMar>
        </w:tblPrEx>
        <w:trPr>
          <w:trHeight w:val="406"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rPr>
            </w:pPr>
            <w:r>
              <w:rPr>
                <w:rFonts w:hint="eastAsia" w:ascii="Times New Roman" w:hAnsi="Times New Roman" w:eastAsia="宋体" w:cs="宋体"/>
                <w:color w:val="000000"/>
                <w:kern w:val="0"/>
                <w:sz w:val="32"/>
                <w:szCs w:val="32"/>
                <w:lang w:val="en-US" w:eastAsia="zh-CN" w:bidi="ar"/>
              </w:rPr>
              <w:t>第二十条第（六）项</w:t>
            </w:r>
          </w:p>
        </w:tc>
      </w:tr>
      <w:tr>
        <w:tblPrEx>
          <w:shd w:val="clear" w:color="auto" w:fill="auto"/>
          <w:tblLayout w:type="fixed"/>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信息内容</w:t>
            </w:r>
          </w:p>
        </w:tc>
        <w:tc>
          <w:tcPr>
            <w:tcW w:w="1869"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上一年项目数量</w:t>
            </w:r>
          </w:p>
        </w:tc>
        <w:tc>
          <w:tcPr>
            <w:tcW w:w="127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本年增/减</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处理决定数量</w:t>
            </w:r>
          </w:p>
        </w:tc>
      </w:tr>
      <w:tr>
        <w:tblPrEx>
          <w:tblLayout w:type="fixed"/>
          <w:tblCellMar>
            <w:top w:w="0" w:type="dxa"/>
            <w:left w:w="0" w:type="dxa"/>
            <w:bottom w:w="0" w:type="dxa"/>
            <w:right w:w="0" w:type="dxa"/>
          </w:tblCellMar>
        </w:tblPrEx>
        <w:trPr>
          <w:trHeight w:val="735"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行政处罚</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2</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-1</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r>
      <w:tr>
        <w:tblPrEx>
          <w:tblLayout w:type="fixed"/>
          <w:tblCellMar>
            <w:top w:w="0" w:type="dxa"/>
            <w:left w:w="0" w:type="dxa"/>
            <w:bottom w:w="0" w:type="dxa"/>
            <w:right w:w="0" w:type="dxa"/>
          </w:tblCellMar>
        </w:tblPrEx>
        <w:trPr>
          <w:trHeight w:val="810"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行政强制</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1</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r>
      <w:tr>
        <w:tblPrEx>
          <w:tblLayout w:type="fixed"/>
          <w:tblCellMar>
            <w:top w:w="0" w:type="dxa"/>
            <w:left w:w="0" w:type="dxa"/>
            <w:bottom w:w="0" w:type="dxa"/>
            <w:right w:w="0" w:type="dxa"/>
          </w:tblCellMar>
        </w:tblPrEx>
        <w:trPr>
          <w:trHeight w:val="474"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rPr>
            </w:pPr>
            <w:r>
              <w:rPr>
                <w:rFonts w:hint="eastAsia" w:ascii="Times New Roman" w:hAnsi="Times New Roman" w:eastAsia="宋体" w:cs="宋体"/>
                <w:color w:val="000000"/>
                <w:kern w:val="0"/>
                <w:sz w:val="32"/>
                <w:szCs w:val="32"/>
                <w:lang w:val="en-US" w:eastAsia="zh-CN" w:bidi="ar"/>
              </w:rPr>
              <w:t>第二十条第（八）项</w:t>
            </w:r>
          </w:p>
        </w:tc>
      </w:tr>
      <w:tr>
        <w:tblPrEx>
          <w:tblLayout w:type="fixed"/>
          <w:tblCellMar>
            <w:top w:w="0" w:type="dxa"/>
            <w:left w:w="0" w:type="dxa"/>
            <w:bottom w:w="0" w:type="dxa"/>
            <w:right w:w="0"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信息内容</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上一年项目数量</w:t>
            </w:r>
          </w:p>
        </w:tc>
        <w:tc>
          <w:tcPr>
            <w:tcW w:w="3158" w:type="dxa"/>
            <w:gridSpan w:val="2"/>
            <w:tcBorders>
              <w:top w:val="single" w:color="auto" w:sz="8" w:space="0"/>
              <w:left w:val="nil"/>
              <w:bottom w:val="single" w:color="auto" w:sz="8" w:space="0"/>
              <w:right w:val="single" w:color="000000"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本年增/减</w:t>
            </w:r>
          </w:p>
        </w:tc>
      </w:tr>
      <w:tr>
        <w:tblPrEx>
          <w:shd w:val="clear" w:color="auto" w:fill="auto"/>
          <w:tblLayout w:type="fixed"/>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行政事业性收费</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c>
          <w:tcPr>
            <w:tcW w:w="3158" w:type="dxa"/>
            <w:gridSpan w:val="2"/>
            <w:tcBorders>
              <w:top w:val="nil"/>
              <w:left w:val="nil"/>
              <w:bottom w:val="single" w:color="auto" w:sz="8" w:space="0"/>
              <w:right w:val="single" w:color="000000"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r>
      <w:tr>
        <w:tblPrEx>
          <w:tblLayout w:type="fixed"/>
          <w:tblCellMar>
            <w:top w:w="0" w:type="dxa"/>
            <w:left w:w="0" w:type="dxa"/>
            <w:bottom w:w="0" w:type="dxa"/>
            <w:right w:w="0" w:type="dxa"/>
          </w:tblCellMar>
        </w:tblPrEx>
        <w:trPr>
          <w:trHeight w:val="476"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rPr>
            </w:pPr>
            <w:r>
              <w:rPr>
                <w:rFonts w:hint="eastAsia" w:ascii="Times New Roman" w:hAnsi="Times New Roman" w:eastAsia="宋体" w:cs="宋体"/>
                <w:color w:val="000000"/>
                <w:kern w:val="0"/>
                <w:sz w:val="32"/>
                <w:szCs w:val="32"/>
                <w:lang w:val="en-US" w:eastAsia="zh-CN" w:bidi="ar"/>
              </w:rPr>
              <w:t>第二十条第（九）项</w:t>
            </w:r>
          </w:p>
        </w:tc>
      </w:tr>
      <w:tr>
        <w:tblPrEx>
          <w:shd w:val="clear" w:color="auto" w:fill="auto"/>
          <w:tblLayout w:type="fixed"/>
          <w:tblCellMar>
            <w:top w:w="0" w:type="dxa"/>
            <w:left w:w="0" w:type="dxa"/>
            <w:bottom w:w="0" w:type="dxa"/>
            <w:right w:w="0"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信息内容</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采购项目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数量</w:t>
            </w:r>
          </w:p>
        </w:tc>
        <w:tc>
          <w:tcPr>
            <w:tcW w:w="3158" w:type="dxa"/>
            <w:gridSpan w:val="2"/>
            <w:tcBorders>
              <w:top w:val="single" w:color="auto" w:sz="8" w:space="0"/>
              <w:left w:val="nil"/>
              <w:bottom w:val="single" w:color="auto" w:sz="8" w:space="0"/>
              <w:right w:val="single" w:color="000000"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采购总金额</w:t>
            </w:r>
          </w:p>
        </w:tc>
      </w:tr>
      <w:tr>
        <w:tblPrEx>
          <w:tblLayout w:type="fixed"/>
          <w:tblCellMar>
            <w:top w:w="0" w:type="dxa"/>
            <w:left w:w="0" w:type="dxa"/>
            <w:bottom w:w="0" w:type="dxa"/>
            <w:right w:w="0"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政府集中采购</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5</w:t>
            </w:r>
          </w:p>
        </w:tc>
        <w:tc>
          <w:tcPr>
            <w:tcW w:w="3158" w:type="dxa"/>
            <w:gridSpan w:val="2"/>
            <w:tcBorders>
              <w:top w:val="nil"/>
              <w:left w:val="nil"/>
              <w:bottom w:val="single" w:color="auto" w:sz="8" w:space="0"/>
              <w:right w:val="single" w:color="000000"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146.2243</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黑体" w:cs="黑体"/>
          <w:b w:val="0"/>
          <w:bCs/>
          <w:i w:val="0"/>
          <w:caps w:val="0"/>
          <w:color w:val="333333"/>
          <w:spacing w:val="0"/>
          <w:sz w:val="32"/>
          <w:szCs w:val="32"/>
          <w:shd w:val="clear" w:fill="FFFFFF"/>
        </w:rPr>
      </w:pPr>
      <w:r>
        <w:rPr>
          <w:rFonts w:hint="eastAsia" w:ascii="Times New Roman" w:hAnsi="Times New Roman" w:eastAsia="黑体" w:cs="黑体"/>
          <w:b w:val="0"/>
          <w:bCs/>
          <w:i w:val="0"/>
          <w:caps w:val="0"/>
          <w:color w:val="333333"/>
          <w:spacing w:val="0"/>
          <w:sz w:val="32"/>
          <w:szCs w:val="32"/>
          <w:shd w:val="clear" w:fill="FFFFFF"/>
        </w:rPr>
        <w:t>三、收到和处理政府信息公开申请情况</w:t>
      </w:r>
    </w:p>
    <w:tbl>
      <w:tblPr>
        <w:tblStyle w:val="4"/>
        <w:tblW w:w="9071"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16"/>
        <w:gridCol w:w="931"/>
        <w:gridCol w:w="2009"/>
        <w:gridCol w:w="813"/>
        <w:gridCol w:w="755"/>
        <w:gridCol w:w="755"/>
        <w:gridCol w:w="813"/>
        <w:gridCol w:w="973"/>
        <w:gridCol w:w="711"/>
        <w:gridCol w:w="69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556" w:type="dxa"/>
            <w:gridSpan w:val="3"/>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（本列数据的勾稽关系为：第一项加第二项之和，等于第三项加第四项之和）</w:t>
            </w:r>
          </w:p>
        </w:tc>
        <w:tc>
          <w:tcPr>
            <w:tcW w:w="5515" w:type="dxa"/>
            <w:gridSpan w:val="7"/>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Times New Roman" w:hAnsi="Times New Roman"/>
                <w:sz w:val="32"/>
                <w:szCs w:val="32"/>
              </w:rPr>
            </w:pPr>
          </w:p>
        </w:tc>
        <w:tc>
          <w:tcPr>
            <w:tcW w:w="813"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自然人</w:t>
            </w:r>
          </w:p>
        </w:tc>
        <w:tc>
          <w:tcPr>
            <w:tcW w:w="400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法人或其他组织</w:t>
            </w:r>
          </w:p>
        </w:tc>
        <w:tc>
          <w:tcPr>
            <w:tcW w:w="695"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24"/>
                <w:szCs w:val="24"/>
              </w:rPr>
            </w:pPr>
            <w:r>
              <w:rPr>
                <w:rFonts w:hint="eastAsia" w:ascii="Times New Roman" w:hAnsi="Times New Roman" w:eastAsia="宋体" w:cs="宋体"/>
                <w:kern w:val="0"/>
                <w:sz w:val="32"/>
                <w:szCs w:val="32"/>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Times New Roman" w:hAnsi="Times New Roman"/>
                <w:sz w:val="32"/>
                <w:szCs w:val="32"/>
              </w:rPr>
            </w:pPr>
          </w:p>
        </w:tc>
        <w:tc>
          <w:tcPr>
            <w:tcW w:w="813"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Times New Roman" w:hAnsi="Times New Roman"/>
                <w:sz w:val="32"/>
                <w:szCs w:val="32"/>
              </w:rPr>
            </w:pP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商业企业</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科研机构</w:t>
            </w:r>
          </w:p>
        </w:tc>
        <w:tc>
          <w:tcPr>
            <w:tcW w:w="813"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社会公益组织</w:t>
            </w:r>
          </w:p>
        </w:tc>
        <w:tc>
          <w:tcPr>
            <w:tcW w:w="973"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法律服务机构</w:t>
            </w:r>
          </w:p>
        </w:tc>
        <w:tc>
          <w:tcPr>
            <w:tcW w:w="711"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其他</w:t>
            </w:r>
          </w:p>
        </w:tc>
        <w:tc>
          <w:tcPr>
            <w:tcW w:w="695"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Times New Roman" w:hAnsi="Times New Roman"/>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宋体" w:cs="宋体"/>
                <w:kern w:val="0"/>
                <w:sz w:val="28"/>
                <w:szCs w:val="28"/>
                <w:lang w:val="en-US" w:eastAsia="zh-CN" w:bidi="ar"/>
              </w:rPr>
              <w:t>一、本年新收政府信息公开申请数量</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6</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1</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7</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宋体" w:cs="宋体"/>
                <w:kern w:val="0"/>
                <w:sz w:val="28"/>
                <w:szCs w:val="28"/>
                <w:lang w:val="en-US" w:eastAsia="zh-CN" w:bidi="ar"/>
              </w:rPr>
              <w:t>二、上年结转政府信息公开申请数量</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ascii="Times New Roman" w:hAnsi="Times New Roman" w:eastAsia="宋体" w:cs="宋体"/>
                <w:kern w:val="0"/>
                <w:sz w:val="28"/>
                <w:szCs w:val="28"/>
                <w:lang w:val="en-US" w:eastAsia="zh-CN" w:bidi="ar"/>
              </w:rPr>
              <w:t>三、本年度办理结果</w:t>
            </w: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（一）予以公开</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（二）部分公开（区分处理的，只计这一情形，不计其他情形）</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1</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1</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Theme="minorEastAsia"/>
                <w:sz w:val="28"/>
                <w:szCs w:val="28"/>
                <w:lang w:val="en-US" w:eastAsia="zh-CN"/>
              </w:rPr>
            </w:pPr>
            <w:r>
              <w:rPr>
                <w:rFonts w:hint="eastAsia"/>
                <w:sz w:val="28"/>
                <w:szCs w:val="28"/>
                <w:lang w:val="en-US" w:eastAsia="zh-CN"/>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Theme="minorEastAsia"/>
                <w:sz w:val="28"/>
                <w:szCs w:val="28"/>
                <w:lang w:val="en-US" w:eastAsia="zh-CN"/>
              </w:rPr>
            </w:pPr>
            <w:r>
              <w:rPr>
                <w:rFonts w:hint="eastAsia"/>
                <w:sz w:val="28"/>
                <w:szCs w:val="28"/>
                <w:lang w:val="en-US" w:eastAsia="zh-CN"/>
              </w:rPr>
              <w:t>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（三）不予公开</w:t>
            </w: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1.属于国家秘密</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2.其他法律行政法规禁止公开</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3.危及“三安全一稳定”</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4.保护第三方合法权益</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5.属于三类内部事务信息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6.属于四类过程性信息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7.属于行政执法案卷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8.属于行政查询事项</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（四）无法提供</w:t>
            </w: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1.本机关不掌握相关政府信息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4</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lang w:val="en-US"/>
              </w:rPr>
            </w:pPr>
            <w:r>
              <w:rPr>
                <w:rFonts w:hint="eastAsia" w:cs="Calibri"/>
                <w:kern w:val="0"/>
                <w:sz w:val="28"/>
                <w:szCs w:val="28"/>
                <w:lang w:val="en-US" w:eastAsia="zh-CN" w:bidi="ar"/>
              </w:rPr>
              <w:t>4</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2.没有现成信息需要另行制作</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3.补正后申请内容仍不明确</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（五）不予处理</w:t>
            </w: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1.信访举报投诉类申请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2.重复申请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1</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3.要求提供公开出版物</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Theme="minorEastAsia"/>
                <w:sz w:val="28"/>
                <w:szCs w:val="28"/>
                <w:lang w:val="en-US" w:eastAsia="zh-CN"/>
              </w:rPr>
            </w:pPr>
            <w:r>
              <w:rPr>
                <w:rFonts w:hint="eastAsia"/>
                <w:sz w:val="28"/>
                <w:szCs w:val="28"/>
                <w:lang w:val="en-US" w:eastAsia="zh-CN"/>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4.无正当理由大量反复申请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5.要求行政机关确认或重新出具已获取信息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（六）其他处理</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（七）总计</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6</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lang w:val="en-US"/>
              </w:rPr>
            </w:pPr>
            <w:r>
              <w:rPr>
                <w:rFonts w:hint="eastAsia" w:cs="Calibri"/>
                <w:kern w:val="0"/>
                <w:sz w:val="28"/>
                <w:szCs w:val="28"/>
                <w:lang w:val="en-US" w:eastAsia="zh-CN" w:bidi="ar"/>
              </w:rPr>
              <w:t>1</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7</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宋体" w:cs="宋体"/>
                <w:kern w:val="0"/>
                <w:sz w:val="28"/>
                <w:szCs w:val="28"/>
                <w:lang w:val="en-US" w:eastAsia="zh-CN" w:bidi="ar"/>
              </w:rPr>
              <w:t>四、结转下年度继续办理</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ascii="Times New Roman" w:hAnsi="Times New Roman"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ascii="Times New Roman" w:hAnsi="Times New Roman"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ascii="Times New Roman" w:hAnsi="Times New Roman"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ascii="Times New Roman" w:hAnsi="Times New Roman"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ascii="Times New Roman" w:hAnsi="Times New Roman"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sz w:val="28"/>
                <w:szCs w:val="28"/>
                <w:lang w:val="en-US"/>
              </w:rPr>
            </w:pPr>
            <w:r>
              <w:rPr>
                <w:rFonts w:hint="eastAsia" w:ascii="Times New Roman" w:hAnsi="Times New Roman"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cs="Calibri"/>
                <w:kern w:val="0"/>
                <w:sz w:val="28"/>
                <w:szCs w:val="28"/>
                <w:lang w:val="en-US" w:eastAsia="zh-CN" w:bidi="ar"/>
              </w:rPr>
            </w:pPr>
            <w:r>
              <w:rPr>
                <w:rFonts w:hint="eastAsia" w:ascii="Times New Roman" w:hAnsi="Times New Roman" w:cs="Calibri"/>
                <w:kern w:val="0"/>
                <w:sz w:val="28"/>
                <w:szCs w:val="28"/>
                <w:lang w:val="en-US" w:eastAsia="zh-CN" w:bidi="ar"/>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Times New Roman" w:hAnsi="Times New Roman" w:eastAsia="黑体" w:cs="黑体"/>
          <w:b w:val="0"/>
          <w:bCs/>
          <w:i w:val="0"/>
          <w:caps w:val="0"/>
          <w:color w:val="333333"/>
          <w:spacing w:val="0"/>
          <w:sz w:val="32"/>
          <w:szCs w:val="32"/>
          <w:shd w:val="clear" w:fill="FFFFFF"/>
        </w:rPr>
      </w:pPr>
      <w:r>
        <w:rPr>
          <w:rFonts w:hint="eastAsia" w:ascii="Times New Roman" w:hAnsi="Times New Roman" w:eastAsia="黑体" w:cs="黑体"/>
          <w:b w:val="0"/>
          <w:bCs/>
          <w:i w:val="0"/>
          <w:caps w:val="0"/>
          <w:color w:val="333333"/>
          <w:spacing w:val="0"/>
          <w:sz w:val="32"/>
          <w:szCs w:val="32"/>
          <w:shd w:val="clear" w:fill="FFFFFF"/>
        </w:rPr>
        <w:t>四、政府信息公开行政复议、行政诉讼情况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宋体" w:cs="宋体"/>
          <w:i w:val="0"/>
          <w:caps w:val="0"/>
          <w:color w:val="333333"/>
          <w:spacing w:val="0"/>
          <w:sz w:val="24"/>
          <w:szCs w:val="24"/>
        </w:rPr>
      </w:pPr>
    </w:p>
    <w:tbl>
      <w:tblPr>
        <w:tblStyle w:val="4"/>
        <w:tblW w:w="9071"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结果维持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总计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sz w:val="24"/>
                <w:szCs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sz w:val="24"/>
                <w:szCs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sz w:val="24"/>
                <w:szCs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其他结果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尚未审结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color w:val="000000"/>
                <w:kern w:val="0"/>
                <w:sz w:val="24"/>
                <w:szCs w:val="24"/>
                <w:lang w:val="en-US" w:eastAsia="zh-CN" w:bidi="ar"/>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color w:val="000000"/>
                <w:kern w:val="0"/>
                <w:sz w:val="24"/>
                <w:szCs w:val="24"/>
                <w:lang w:val="en-US" w:eastAsia="zh-CN" w:bidi="ar"/>
              </w:rPr>
              <w:t>其他结果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color w:val="000000"/>
                <w:kern w:val="0"/>
                <w:sz w:val="24"/>
                <w:szCs w:val="24"/>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737" w:hRule="atLeast"/>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default" w:ascii="Times New Roman" w:hAnsi="Times New Roman"/>
                <w:sz w:val="24"/>
                <w:szCs w:val="24"/>
                <w:lang w:val="en-US"/>
              </w:rPr>
            </w:pPr>
            <w:r>
              <w:rPr>
                <w:rFonts w:hint="eastAsia" w:ascii="Times New Roman" w:hAnsi="Times New Roman" w:cs="Calibri"/>
                <w:kern w:val="0"/>
                <w:sz w:val="24"/>
                <w:szCs w:val="24"/>
                <w:lang w:val="en-US" w:eastAsia="zh-CN" w:bidi="ar"/>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sz w:val="24"/>
                <w:szCs w:val="24"/>
                <w:lang w:val="en-US" w:eastAsia="zh-CN"/>
              </w:rPr>
            </w:pPr>
            <w:r>
              <w:rPr>
                <w:rFonts w:hint="eastAsia" w:ascii="Times New Roman" w:hAnsi="Times New Roman"/>
                <w:sz w:val="24"/>
                <w:szCs w:val="24"/>
                <w:lang w:val="en-US" w:eastAsia="zh-CN"/>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Times New Roman" w:hAnsi="Times New Roman"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Times New Roman" w:hAnsi="Times New Roman" w:eastAsia="黑体" w:cs="黑体"/>
          <w:b w:val="0"/>
          <w:bCs/>
          <w:i w:val="0"/>
          <w:caps w:val="0"/>
          <w:color w:val="333333"/>
          <w:spacing w:val="0"/>
          <w:sz w:val="32"/>
          <w:szCs w:val="32"/>
          <w:shd w:val="clear" w:fill="FFFFFF"/>
        </w:rPr>
      </w:pPr>
      <w:r>
        <w:rPr>
          <w:rFonts w:hint="eastAsia" w:ascii="Times New Roman" w:hAnsi="Times New Roman" w:eastAsia="黑体" w:cs="黑体"/>
          <w:b w:val="0"/>
          <w:bCs/>
          <w:i w:val="0"/>
          <w:caps w:val="0"/>
          <w:color w:val="333333"/>
          <w:spacing w:val="0"/>
          <w:sz w:val="32"/>
          <w:szCs w:val="32"/>
          <w:shd w:val="clear" w:fill="FFFFFF"/>
        </w:rPr>
        <w:t>五、存在的主要问题及改进情况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default" w:ascii="Times New Roman" w:hAnsi="Times New Roman" w:eastAsia="仿宋_GB2312" w:cs="仿宋_GB2312"/>
          <w:i w:val="0"/>
          <w:caps w:val="0"/>
          <w:color w:val="333333"/>
          <w:spacing w:val="0"/>
          <w:sz w:val="32"/>
          <w:szCs w:val="32"/>
          <w:shd w:val="clear" w:fill="FFFFFF"/>
          <w:lang w:val="en-US" w:eastAsia="zh-CN"/>
        </w:rPr>
      </w:pPr>
      <w:r>
        <w:rPr>
          <w:rFonts w:hint="eastAsia" w:ascii="Times New Roman" w:hAnsi="Times New Roman" w:eastAsia="仿宋_GB2312" w:cs="仿宋_GB2312"/>
          <w:i w:val="0"/>
          <w:caps w:val="0"/>
          <w:color w:val="333333"/>
          <w:spacing w:val="0"/>
          <w:sz w:val="32"/>
          <w:szCs w:val="32"/>
          <w:shd w:val="clear" w:fill="FFFFFF"/>
          <w:lang w:val="en-US" w:eastAsia="zh-CN"/>
        </w:rPr>
        <w:t>一是基层政务公开规范化标准化目录研究的不深不透，</w:t>
      </w:r>
      <w:r>
        <w:rPr>
          <w:rFonts w:hint="eastAsia" w:eastAsia="仿宋_GB2312" w:cs="仿宋_GB2312"/>
          <w:i w:val="0"/>
          <w:caps w:val="0"/>
          <w:color w:val="333333"/>
          <w:spacing w:val="0"/>
          <w:sz w:val="32"/>
          <w:szCs w:val="32"/>
          <w:shd w:val="clear" w:fill="FFFFFF"/>
          <w:lang w:val="en-US" w:eastAsia="zh-CN"/>
        </w:rPr>
        <w:t>政务公开规范化标准化目录与部门业务系统结合不够，实用性不强。二是政务公开培训力度不够。体制机制改革后，各部门工作人员普遍有较大调整，对应开展的政务公开培训次数较少。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Times New Roman" w:hAnsi="Times New Roman" w:eastAsia="仿宋_GB2312" w:cs="仿宋_GB2312"/>
          <w:i w:val="0"/>
          <w:caps w:val="0"/>
          <w:color w:val="333333"/>
          <w:spacing w:val="0"/>
          <w:sz w:val="32"/>
          <w:szCs w:val="32"/>
          <w:shd w:val="clear" w:fill="FFFFFF"/>
          <w:lang w:val="en-US" w:eastAsia="zh-CN"/>
        </w:rPr>
      </w:pPr>
      <w:r>
        <w:rPr>
          <w:rFonts w:hint="eastAsia" w:ascii="Times New Roman" w:hAnsi="Times New Roman" w:eastAsia="仿宋_GB2312" w:cs="仿宋_GB2312"/>
          <w:i w:val="0"/>
          <w:caps w:val="0"/>
          <w:color w:val="333333"/>
          <w:spacing w:val="0"/>
          <w:sz w:val="32"/>
          <w:szCs w:val="32"/>
          <w:shd w:val="clear" w:fill="FFFFFF"/>
          <w:lang w:val="en-US" w:eastAsia="zh-CN"/>
        </w:rPr>
        <w:t>具体的解决办法和改进措施</w:t>
      </w:r>
      <w:r>
        <w:rPr>
          <w:rFonts w:hint="eastAsia" w:eastAsia="仿宋_GB2312" w:cs="仿宋_GB2312"/>
          <w:i w:val="0"/>
          <w:caps w:val="0"/>
          <w:color w:val="333333"/>
          <w:spacing w:val="0"/>
          <w:sz w:val="32"/>
          <w:szCs w:val="32"/>
          <w:shd w:val="clear" w:fill="FFFFFF"/>
          <w:lang w:val="en-US" w:eastAsia="zh-CN"/>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Times New Roman" w:hAnsi="Times New Roman" w:eastAsia="仿宋_GB2312" w:cs="仿宋_GB2312"/>
          <w:i w:val="0"/>
          <w:caps w:val="0"/>
          <w:color w:val="333333"/>
          <w:spacing w:val="0"/>
          <w:sz w:val="32"/>
          <w:szCs w:val="32"/>
          <w:shd w:val="clear" w:fill="FFFFFF"/>
          <w:lang w:val="en-US" w:eastAsia="zh-CN"/>
        </w:rPr>
      </w:pPr>
      <w:r>
        <w:rPr>
          <w:rFonts w:hint="eastAsia" w:eastAsia="仿宋_GB2312" w:cs="仿宋_GB2312"/>
          <w:i w:val="0"/>
          <w:caps w:val="0"/>
          <w:color w:val="333333"/>
          <w:spacing w:val="0"/>
          <w:sz w:val="32"/>
          <w:szCs w:val="32"/>
          <w:shd w:val="clear" w:fill="FFFFFF"/>
          <w:lang w:val="en-US" w:eastAsia="zh-CN"/>
        </w:rPr>
        <w:t>一是加快推进基层政务公开标准化规范化建设，借鉴先进经验，将政务公开事项标准目录嵌入部门业务系统，确保政务公开信息让群众看得见、弄得懂、用得上。积极探索村居政务公开路径，打通最后一公里。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Times New Roman" w:hAnsi="Times New Roman" w:eastAsia="仿宋_GB2312" w:cs="仿宋_GB2312"/>
          <w:i w:val="0"/>
          <w:caps w:val="0"/>
          <w:color w:val="333333"/>
          <w:spacing w:val="0"/>
          <w:sz w:val="32"/>
          <w:szCs w:val="32"/>
          <w:shd w:val="clear" w:fill="FFFFFF"/>
          <w:lang w:val="en-US" w:eastAsia="zh-CN"/>
        </w:rPr>
      </w:pPr>
      <w:r>
        <w:rPr>
          <w:rFonts w:hint="eastAsia" w:eastAsia="仿宋_GB2312" w:cs="仿宋_GB2312"/>
          <w:i w:val="0"/>
          <w:caps w:val="0"/>
          <w:color w:val="333333"/>
          <w:spacing w:val="0"/>
          <w:sz w:val="32"/>
          <w:szCs w:val="32"/>
          <w:shd w:val="clear" w:fill="FFFFFF"/>
          <w:lang w:val="en-US" w:eastAsia="zh-CN"/>
        </w:rPr>
        <w:t>二</w:t>
      </w:r>
      <w:r>
        <w:rPr>
          <w:rFonts w:hint="eastAsia" w:ascii="Times New Roman" w:hAnsi="Times New Roman" w:eastAsia="仿宋_GB2312" w:cs="仿宋_GB2312"/>
          <w:i w:val="0"/>
          <w:caps w:val="0"/>
          <w:color w:val="333333"/>
          <w:spacing w:val="0"/>
          <w:sz w:val="32"/>
          <w:szCs w:val="32"/>
          <w:shd w:val="clear" w:fill="FFFFFF"/>
          <w:lang w:val="en-US" w:eastAsia="zh-CN"/>
        </w:rPr>
        <w:t>是加强信息公开工作培训学习，加强</w:t>
      </w:r>
      <w:r>
        <w:rPr>
          <w:rFonts w:hint="eastAsia" w:eastAsia="仿宋_GB2312" w:cs="仿宋_GB2312"/>
          <w:i w:val="0"/>
          <w:caps w:val="0"/>
          <w:color w:val="333333"/>
          <w:spacing w:val="0"/>
          <w:sz w:val="32"/>
          <w:szCs w:val="32"/>
          <w:shd w:val="clear" w:fill="FFFFFF"/>
          <w:lang w:val="en-US" w:eastAsia="zh-CN"/>
        </w:rPr>
        <w:t>政务公开工作</w:t>
      </w:r>
      <w:r>
        <w:rPr>
          <w:rFonts w:hint="eastAsia" w:ascii="Times New Roman" w:hAnsi="Times New Roman" w:eastAsia="仿宋_GB2312" w:cs="仿宋_GB2312"/>
          <w:i w:val="0"/>
          <w:caps w:val="0"/>
          <w:color w:val="333333"/>
          <w:spacing w:val="0"/>
          <w:sz w:val="32"/>
          <w:szCs w:val="32"/>
          <w:shd w:val="clear" w:fill="FFFFFF"/>
          <w:lang w:val="en-US" w:eastAsia="zh-CN"/>
        </w:rPr>
        <w:t>人员对</w:t>
      </w:r>
      <w:r>
        <w:rPr>
          <w:rFonts w:hint="eastAsia" w:eastAsia="仿宋_GB2312" w:cs="仿宋_GB2312"/>
          <w:i w:val="0"/>
          <w:caps w:val="0"/>
          <w:color w:val="333333"/>
          <w:spacing w:val="0"/>
          <w:sz w:val="32"/>
          <w:szCs w:val="32"/>
          <w:shd w:val="clear" w:fill="FFFFFF"/>
          <w:lang w:val="en-US" w:eastAsia="zh-CN"/>
        </w:rPr>
        <w:t>《条例》及政府信息公开平台及</w:t>
      </w:r>
      <w:r>
        <w:rPr>
          <w:rFonts w:hint="eastAsia" w:ascii="Times New Roman" w:hAnsi="Times New Roman" w:eastAsia="仿宋_GB2312" w:cs="仿宋_GB2312"/>
          <w:i w:val="0"/>
          <w:caps w:val="0"/>
          <w:color w:val="333333"/>
          <w:spacing w:val="0"/>
          <w:sz w:val="32"/>
          <w:szCs w:val="32"/>
          <w:shd w:val="clear" w:fill="FFFFFF"/>
          <w:lang w:val="en-US" w:eastAsia="zh-CN"/>
        </w:rPr>
        <w:t>微博、微信等新媒体的学习和应用，及时</w:t>
      </w:r>
      <w:r>
        <w:rPr>
          <w:rFonts w:hint="eastAsia" w:eastAsia="仿宋_GB2312" w:cs="仿宋_GB2312"/>
          <w:i w:val="0"/>
          <w:caps w:val="0"/>
          <w:color w:val="333333"/>
          <w:spacing w:val="0"/>
          <w:sz w:val="32"/>
          <w:szCs w:val="32"/>
          <w:shd w:val="clear" w:fill="FFFFFF"/>
          <w:lang w:val="en-US" w:eastAsia="zh-CN"/>
        </w:rPr>
        <w:t>主动公开</w:t>
      </w:r>
      <w:r>
        <w:rPr>
          <w:rFonts w:hint="eastAsia" w:ascii="Times New Roman" w:hAnsi="Times New Roman" w:eastAsia="仿宋_GB2312" w:cs="仿宋_GB2312"/>
          <w:i w:val="0"/>
          <w:caps w:val="0"/>
          <w:color w:val="333333"/>
          <w:spacing w:val="0"/>
          <w:sz w:val="32"/>
          <w:szCs w:val="32"/>
          <w:shd w:val="clear" w:fill="FFFFFF"/>
          <w:lang w:val="en-US" w:eastAsia="zh-CN"/>
        </w:rPr>
        <w:t>向</w:t>
      </w:r>
      <w:r>
        <w:rPr>
          <w:rFonts w:hint="eastAsia" w:eastAsia="仿宋_GB2312" w:cs="仿宋_GB2312"/>
          <w:i w:val="0"/>
          <w:caps w:val="0"/>
          <w:color w:val="333333"/>
          <w:spacing w:val="0"/>
          <w:sz w:val="32"/>
          <w:szCs w:val="32"/>
          <w:shd w:val="clear" w:fill="FFFFFF"/>
          <w:lang w:val="en-US" w:eastAsia="zh-CN"/>
        </w:rPr>
        <w:t>涉及民生的重要事项</w:t>
      </w:r>
      <w:r>
        <w:rPr>
          <w:rFonts w:hint="eastAsia" w:ascii="Times New Roman" w:hAnsi="Times New Roman" w:eastAsia="仿宋_GB2312" w:cs="仿宋_GB2312"/>
          <w:i w:val="0"/>
          <w:caps w:val="0"/>
          <w:color w:val="333333"/>
          <w:spacing w:val="0"/>
          <w:sz w:val="32"/>
          <w:szCs w:val="32"/>
          <w:shd w:val="clear" w:fill="FFFFFF"/>
          <w:lang w:val="en-US" w:eastAsia="zh-CN"/>
        </w:rPr>
        <w:t>，不断提高政府信息公开工作的能力。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Times New Roman" w:hAnsi="Times New Roman" w:eastAsia="黑体" w:cs="黑体"/>
          <w:b w:val="0"/>
          <w:bCs/>
          <w:i w:val="0"/>
          <w:caps w:val="0"/>
          <w:color w:val="333333"/>
          <w:spacing w:val="0"/>
          <w:sz w:val="32"/>
          <w:szCs w:val="32"/>
          <w:shd w:val="clear" w:fill="FFFFFF"/>
        </w:rPr>
      </w:pPr>
      <w:r>
        <w:rPr>
          <w:rFonts w:hint="eastAsia" w:ascii="Times New Roman" w:hAnsi="Times New Roman" w:eastAsia="黑体" w:cs="黑体"/>
          <w:b w:val="0"/>
          <w:bCs/>
          <w:i w:val="0"/>
          <w:caps w:val="0"/>
          <w:color w:val="333333"/>
          <w:spacing w:val="0"/>
          <w:sz w:val="32"/>
          <w:szCs w:val="32"/>
          <w:shd w:val="clear" w:fill="FFFFFF"/>
        </w:rPr>
        <w:t>六、其他需要报告的事项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Times New Roman" w:hAnsi="Times New Roman" w:eastAsia="仿宋_GB2312" w:cs="仿宋_GB2312"/>
          <w:i w:val="0"/>
          <w:caps w:val="0"/>
          <w:color w:val="333333"/>
          <w:spacing w:val="0"/>
          <w:sz w:val="32"/>
          <w:szCs w:val="32"/>
          <w:shd w:val="clear" w:fill="FFFFFF"/>
          <w:lang w:eastAsia="zh-CN"/>
        </w:rPr>
      </w:pPr>
      <w:r>
        <w:rPr>
          <w:rFonts w:hint="eastAsia" w:ascii="Times New Roman" w:hAnsi="Times New Roman" w:eastAsia="仿宋_GB2312" w:cs="仿宋_GB2312"/>
          <w:i w:val="0"/>
          <w:caps w:val="0"/>
          <w:color w:val="333333"/>
          <w:spacing w:val="0"/>
          <w:sz w:val="32"/>
          <w:szCs w:val="32"/>
          <w:shd w:val="clear" w:fill="FFFFFF"/>
          <w:lang w:eastAsia="zh-CN"/>
        </w:rPr>
        <w:t>2020年，</w:t>
      </w:r>
      <w:r>
        <w:rPr>
          <w:rFonts w:hint="eastAsia" w:eastAsia="仿宋_GB2312" w:cs="仿宋_GB2312"/>
          <w:i w:val="0"/>
          <w:caps w:val="0"/>
          <w:color w:val="333333"/>
          <w:spacing w:val="0"/>
          <w:sz w:val="32"/>
          <w:szCs w:val="32"/>
          <w:shd w:val="clear" w:fill="FFFFFF"/>
          <w:lang w:eastAsia="zh-CN"/>
        </w:rPr>
        <w:t>威海火炬高技术产业开发区党政办公室</w:t>
      </w:r>
      <w:r>
        <w:rPr>
          <w:rFonts w:hint="eastAsia" w:ascii="Times New Roman" w:hAnsi="Times New Roman" w:eastAsia="仿宋_GB2312" w:cs="仿宋_GB2312"/>
          <w:i w:val="0"/>
          <w:caps w:val="0"/>
          <w:color w:val="333333"/>
          <w:spacing w:val="0"/>
          <w:sz w:val="32"/>
          <w:szCs w:val="32"/>
          <w:shd w:val="clear" w:fill="FFFFFF"/>
          <w:lang w:eastAsia="zh-CN"/>
        </w:rPr>
        <w:t>共</w:t>
      </w:r>
      <w:r>
        <w:rPr>
          <w:rFonts w:hint="eastAsia" w:eastAsia="仿宋_GB2312" w:cs="仿宋_GB2312"/>
          <w:i w:val="0"/>
          <w:caps w:val="0"/>
          <w:color w:val="333333"/>
          <w:spacing w:val="0"/>
          <w:sz w:val="32"/>
          <w:szCs w:val="32"/>
          <w:shd w:val="clear" w:fill="FFFFFF"/>
          <w:lang w:eastAsia="zh-CN"/>
        </w:rPr>
        <w:t>主办</w:t>
      </w:r>
      <w:r>
        <w:rPr>
          <w:rFonts w:hint="eastAsia" w:ascii="Times New Roman" w:hAnsi="Times New Roman" w:eastAsia="仿宋_GB2312" w:cs="仿宋_GB2312"/>
          <w:i w:val="0"/>
          <w:caps w:val="0"/>
          <w:color w:val="333333"/>
          <w:spacing w:val="0"/>
          <w:sz w:val="32"/>
          <w:szCs w:val="32"/>
          <w:shd w:val="clear" w:fill="FFFFFF"/>
          <w:lang w:eastAsia="zh-CN"/>
        </w:rPr>
        <w:t>人大代表建议</w:t>
      </w:r>
      <w:r>
        <w:rPr>
          <w:rFonts w:hint="eastAsia" w:eastAsia="仿宋_GB2312" w:cs="仿宋_GB2312"/>
          <w:i w:val="0"/>
          <w:caps w:val="0"/>
          <w:color w:val="333333"/>
          <w:spacing w:val="0"/>
          <w:sz w:val="32"/>
          <w:szCs w:val="32"/>
          <w:shd w:val="clear" w:fill="FFFFFF"/>
          <w:lang w:val="en-US" w:eastAsia="zh-CN"/>
        </w:rPr>
        <w:t>0</w:t>
      </w:r>
      <w:r>
        <w:rPr>
          <w:rFonts w:hint="eastAsia" w:ascii="Times New Roman" w:hAnsi="Times New Roman" w:eastAsia="仿宋_GB2312" w:cs="仿宋_GB2312"/>
          <w:i w:val="0"/>
          <w:caps w:val="0"/>
          <w:color w:val="333333"/>
          <w:spacing w:val="0"/>
          <w:sz w:val="32"/>
          <w:szCs w:val="32"/>
          <w:shd w:val="clear" w:fill="FFFFFF"/>
          <w:lang w:eastAsia="zh-CN"/>
        </w:rPr>
        <w:t>件；政协委员提案</w:t>
      </w:r>
      <w:r>
        <w:rPr>
          <w:rFonts w:hint="eastAsia" w:eastAsia="仿宋_GB2312" w:cs="仿宋_GB2312"/>
          <w:i w:val="0"/>
          <w:caps w:val="0"/>
          <w:color w:val="333333"/>
          <w:spacing w:val="0"/>
          <w:sz w:val="32"/>
          <w:szCs w:val="32"/>
          <w:shd w:val="clear" w:fill="FFFFFF"/>
          <w:lang w:val="en-US" w:eastAsia="zh-CN"/>
        </w:rPr>
        <w:t>5</w:t>
      </w:r>
      <w:r>
        <w:rPr>
          <w:rFonts w:hint="eastAsia" w:ascii="Times New Roman" w:hAnsi="Times New Roman" w:eastAsia="仿宋_GB2312" w:cs="仿宋_GB2312"/>
          <w:i w:val="0"/>
          <w:caps w:val="0"/>
          <w:color w:val="333333"/>
          <w:spacing w:val="0"/>
          <w:sz w:val="32"/>
          <w:szCs w:val="32"/>
          <w:shd w:val="clear" w:fill="FFFFFF"/>
          <w:lang w:eastAsia="zh-CN"/>
        </w:rPr>
        <w:t>件，对可以公开的建议和提案办理复文，均及时在</w:t>
      </w:r>
      <w:r>
        <w:rPr>
          <w:rFonts w:hint="eastAsia" w:eastAsia="仿宋_GB2312" w:cs="仿宋_GB2312"/>
          <w:i w:val="0"/>
          <w:caps w:val="0"/>
          <w:color w:val="333333"/>
          <w:spacing w:val="0"/>
          <w:sz w:val="32"/>
          <w:szCs w:val="32"/>
          <w:shd w:val="clear" w:fill="FFFFFF"/>
          <w:lang w:eastAsia="zh-CN"/>
        </w:rPr>
        <w:t>管委</w:t>
      </w:r>
      <w:r>
        <w:rPr>
          <w:rFonts w:hint="eastAsia" w:ascii="Times New Roman" w:hAnsi="Times New Roman" w:eastAsia="仿宋_GB2312" w:cs="仿宋_GB2312"/>
          <w:i w:val="0"/>
          <w:caps w:val="0"/>
          <w:color w:val="333333"/>
          <w:spacing w:val="0"/>
          <w:sz w:val="32"/>
          <w:szCs w:val="32"/>
          <w:shd w:val="clear" w:fill="FFFFFF"/>
          <w:lang w:eastAsia="zh-CN"/>
        </w:rPr>
        <w:t>门户网站进行公开。</w:t>
      </w:r>
    </w:p>
    <w:p>
      <w:pPr>
        <w:rPr>
          <w:rFonts w:ascii="Times New Roman" w:hAnsi="Times New Roman"/>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AE58CA"/>
    <w:rsid w:val="09C873F6"/>
    <w:rsid w:val="10DE16CE"/>
    <w:rsid w:val="1642699C"/>
    <w:rsid w:val="1BB25D3F"/>
    <w:rsid w:val="3CF532EA"/>
    <w:rsid w:val="58AE58CA"/>
    <w:rsid w:val="6A374D04"/>
    <w:rsid w:val="738C17CA"/>
    <w:rsid w:val="78D95F14"/>
    <w:rsid w:val="7D7D78DB"/>
    <w:rsid w:val="7E5044D0"/>
    <w:rsid w:val="7E54528C"/>
    <w:rsid w:val="7FB44E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Theme="minorEastAsia" w:cstheme="minorBidi"/>
      <w:kern w:val="2"/>
      <w:sz w:val="32"/>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75</TotalTime>
  <ScaleCrop>false</ScaleCrop>
  <LinksUpToDate>false</LinksUpToDate>
  <CharactersWithSpaces>0</CharactersWithSpaces>
  <Application>WPS Office_11.1.0.8013_F1E327BC-269C-435d-A152-05C5408002CA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2020-01-09T03:04:00Z</dcterms:created>
  <dc:creator>Administrator</dc:creator>
  <cp:lastModifiedBy>Keep Amazing</cp:lastModifiedBy>
  <cp:lastPrinted>2020-12-29T08:33:00Z</cp:lastPrinted>
  <dcterms:modified xsi:type="dcterms:W3CDTF">2021-01-31T09:36:24Z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2052-11.1.0.8013</vt:lpwstr>
  </property>
</Properties>
</file>