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77A1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2026年上半年高区经济运行简报</w:t>
      </w:r>
    </w:p>
    <w:p w14:paraId="0D550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2026年上半年，全区完成生产总值356.8亿元，同比增长8.0%，居全市第一位。第一产业增加值0.6亿元，同比增长0.7%；第二产业增加值180.3亿元，同比增长7.8%；第三产业增加值175.9亿元，同比增长8.4%。三次产业比重为0.2%：50.5%：49.3%。</w:t>
      </w:r>
    </w:p>
    <w:p w14:paraId="56E51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4826000" cy="2743200"/>
            <wp:effectExtent l="0" t="0" r="12700" b="0"/>
            <wp:docPr id="2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37846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规上工业增加值同比增长10.0%，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固定资产投资增速3.8%，社会消费品零售总额同比增长1.0%，一般公共预算收入增速5.5%，实际利用外资同比下降22.1%，工业用电量同比下降0.4%。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D81422"/>
    <w:rsid w:val="7182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&#24037;&#20316;&#31807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400" b="1" i="0" u="none" strike="noStrike" kern="1200" baseline="0">
                <a:solidFill>
                  <a:schemeClr val="tx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t>2026年上半年三次产业占比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33147368421053"/>
          <c:y val="0.245583333333333"/>
          <c:w val="0.333705263157895"/>
          <c:h val="0.587074074074074"/>
        </c:manualLayout>
      </c:layout>
      <c:pieChart>
        <c:varyColors val="1"/>
        <c:ser>
          <c:idx val="0"/>
          <c:order val="0"/>
          <c:spPr>
            <a:ln>
              <a:noFill/>
            </a:ln>
          </c:spPr>
          <c:explosion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</c:dPt>
          <c:dLbls>
            <c:dLbl>
              <c:idx val="1"/>
              <c:layout>
                <c:manualLayout>
                  <c:x val="0.0119472322468379"/>
                  <c:y val="-0.00213648768435764"/>
                </c:manualLayout>
              </c:layout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000197471816776233"/>
                  <c:y val="-0.0304155122875066"/>
                </c:manualLayout>
              </c:layout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1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[工作簿1]Sheet1!$A$1:$A$3</c:f>
              <c:strCache>
                <c:ptCount val="3"/>
                <c:pt idx="0">
                  <c:v>第一产业</c:v>
                </c:pt>
                <c:pt idx="1">
                  <c:v>第二产业</c:v>
                </c:pt>
                <c:pt idx="2">
                  <c:v>第三产业</c:v>
                </c:pt>
              </c:strCache>
            </c:strRef>
          </c:cat>
          <c:val>
            <c:numRef>
              <c:f>[工作簿1]Sheet1!$B$1:$B$3</c:f>
              <c:numCache>
                <c:formatCode>General</c:formatCode>
                <c:ptCount val="3"/>
                <c:pt idx="0">
                  <c:v>0.2</c:v>
                </c:pt>
                <c:pt idx="1">
                  <c:v>50.5</c:v>
                </c:pt>
                <c:pt idx="2">
                  <c:v>49.3</c:v>
                </c:pt>
              </c:numCache>
            </c:numRef>
          </c:val>
        </c:ser>
        <c:dLbls>
          <c:showLegendKey val="1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15526315789474"/>
          <c:y val="0.915972222222222"/>
        </c:manualLayout>
      </c:layout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42221fae-0a8d-4365-bcec-b0597a731f2a}"/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08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solidFill>
          <a:schemeClr val="bg1"/>
        </a:solidFill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234</Characters>
  <Lines>0</Lines>
  <Paragraphs>0</Paragraphs>
  <TotalTime>6</TotalTime>
  <ScaleCrop>false</ScaleCrop>
  <LinksUpToDate>false</LinksUpToDate>
  <CharactersWithSpaces>234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2026-07-21T03:19:00Z</dcterms:created>
  <dc:creator>统计</dc:creator>
  <cp:lastModifiedBy>wmx</cp:lastModifiedBy>
  <dcterms:modified xsi:type="dcterms:W3CDTF">2026-10-26T07:16:28Z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eyJoZGlkIjoiZjAyYWNkYjU5MDk4Y2M0NTg1ZjAwODU0OGFkYjM2NWMiLCJ1c2VySWQiOiIzMzM0NzQ5MjkifQ==</vt:lpwstr>
  </property>
  <property fmtid="{D5CDD505-2E9C-101B-9397-08002B2CF9AE}" pid="4" name="ICV">
    <vt:lpwstr>1BC23D3501FC4123B9E56D34B6DDACB7_12</vt:lpwstr>
  </property>
</Properties>
</file>