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3EE9F8">
      <w:pPr>
        <w:keepNext w:val="0"/>
        <w:keepLines w:val="0"/>
        <w:pageBreakBefore w:val="0"/>
        <w:widowControl w:val="0"/>
        <w:tabs>
          <w:tab w:val="center" w:pos="4507"/>
        </w:tabs>
        <w:kinsoku/>
        <w:wordWrap/>
        <w:overflowPunct/>
        <w:topLinePunct w:val="0"/>
        <w:autoSpaceDE/>
        <w:autoSpaceDN/>
        <w:bidi w:val="0"/>
        <w:adjustRightInd/>
        <w:snapToGrid/>
        <w:spacing w:line="510" w:lineRule="exact"/>
        <w:jc w:val="left"/>
        <w:textAlignment w:val="auto"/>
        <w:rPr>
          <w:rFonts w:ascii="Times New Roman" w:hAnsi="Times New Roman"/>
          <w:sz w:val="44"/>
        </w:rPr>
      </w:pPr>
    </w:p>
    <w:p w14:paraId="484CE476">
      <w:pPr>
        <w:keepNext w:val="0"/>
        <w:keepLines w:val="0"/>
        <w:pageBreakBefore w:val="0"/>
        <w:widowControl w:val="0"/>
        <w:kinsoku/>
        <w:wordWrap/>
        <w:overflowPunct/>
        <w:topLinePunct w:val="0"/>
        <w:autoSpaceDE/>
        <w:autoSpaceDN/>
        <w:bidi w:val="0"/>
        <w:adjustRightInd w:val="0"/>
        <w:snapToGrid w:val="0"/>
        <w:spacing w:line="51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14:paraId="11DB261C">
      <w:pPr>
        <w:keepNext w:val="0"/>
        <w:keepLines w:val="0"/>
        <w:pageBreakBefore w:val="0"/>
        <w:widowControl w:val="0"/>
        <w:kinsoku/>
        <w:wordWrap/>
        <w:overflowPunct/>
        <w:topLinePunct w:val="0"/>
        <w:autoSpaceDE/>
        <w:autoSpaceDN/>
        <w:bidi w:val="0"/>
        <w:adjustRightInd w:val="0"/>
        <w:snapToGrid w:val="0"/>
        <w:spacing w:line="510" w:lineRule="exact"/>
        <w:jc w:val="center"/>
        <w:textAlignment w:val="auto"/>
        <w:outlineLvl w:val="9"/>
        <w:rPr>
          <w:rFonts w:hint="eastAsia" w:ascii="宋体" w:hAnsi="宋体" w:eastAsia="方正小标宋简体"/>
          <w:sz w:val="44"/>
          <w:szCs w:val="32"/>
          <w:lang w:eastAsia="zh-CN"/>
        </w:rPr>
      </w:pPr>
      <w:r>
        <w:rPr>
          <w:rFonts w:hint="eastAsia" w:ascii="宋体" w:hAnsi="宋体" w:eastAsia="方正小标宋简体"/>
          <w:sz w:val="44"/>
          <w:szCs w:val="32"/>
          <w:lang w:eastAsia="zh-CN"/>
        </w:rPr>
        <w:t>关于印发《威海火炬高技术产业开发区</w:t>
      </w:r>
      <w:r>
        <w:rPr>
          <w:rFonts w:hint="eastAsia" w:ascii="宋体" w:hAnsi="宋体" w:eastAsia="方正小标宋简体"/>
          <w:sz w:val="44"/>
          <w:szCs w:val="32"/>
          <w:lang w:eastAsia="zh-CN"/>
        </w:rPr>
        <w:cr/>
      </w:r>
      <w:r>
        <w:rPr>
          <w:rFonts w:hint="eastAsia" w:ascii="宋体" w:hAnsi="宋体" w:eastAsia="方正小标宋简体"/>
          <w:sz w:val="44"/>
          <w:szCs w:val="32"/>
          <w:lang w:eastAsia="zh-CN"/>
        </w:rPr>
        <w:t>重污染天气应急预案》的通知</w:t>
      </w:r>
    </w:p>
    <w:p w14:paraId="524ECA28">
      <w:pPr>
        <w:pStyle w:val="3"/>
        <w:keepNext w:val="0"/>
        <w:keepLines w:val="0"/>
        <w:pageBreakBefore w:val="0"/>
        <w:widowControl w:val="0"/>
        <w:kinsoku/>
        <w:wordWrap/>
        <w:overflowPunct/>
        <w:topLinePunct w:val="0"/>
        <w:autoSpaceDE/>
        <w:autoSpaceDN/>
        <w:bidi w:val="0"/>
        <w:spacing w:line="510" w:lineRule="exact"/>
        <w:textAlignment w:val="auto"/>
        <w:rPr>
          <w:rFonts w:ascii="宋体" w:hAnsi="宋体"/>
        </w:rPr>
      </w:pPr>
    </w:p>
    <w:p w14:paraId="23771390">
      <w:pPr>
        <w:keepNext w:val="0"/>
        <w:keepLines w:val="0"/>
        <w:pageBreakBefore w:val="0"/>
        <w:widowControl w:val="0"/>
        <w:kinsoku/>
        <w:wordWrap/>
        <w:overflowPunct/>
        <w:topLinePunct w:val="0"/>
        <w:autoSpaceDE/>
        <w:autoSpaceDN/>
        <w:bidi w:val="0"/>
        <w:adjustRightInd w:val="0"/>
        <w:snapToGrid w:val="0"/>
        <w:spacing w:line="510" w:lineRule="exact"/>
        <w:textAlignment w:val="auto"/>
        <w:outlineLvl w:val="9"/>
        <w:rPr>
          <w:rFonts w:hint="eastAsia" w:ascii="宋体" w:hAnsi="宋体" w:eastAsia="仿宋_GB2312" w:cs="仿宋_GB2312"/>
          <w:kern w:val="0"/>
          <w:sz w:val="32"/>
          <w:szCs w:val="32"/>
          <w:lang w:eastAsia="zh-CN"/>
        </w:rPr>
      </w:pPr>
      <w:r>
        <w:rPr>
          <w:rFonts w:hint="eastAsia" w:ascii="宋体" w:hAnsi="宋体" w:eastAsia="仿宋_GB2312" w:cs="仿宋_GB2312"/>
          <w:kern w:val="0"/>
          <w:sz w:val="32"/>
          <w:szCs w:val="32"/>
          <w:highlight w:val="none"/>
          <w:lang w:val="en-US" w:eastAsia="zh-CN"/>
        </w:rPr>
        <w:t>区直各部门，各镇、街道，驻区各单位，区属各国有企业</w:t>
      </w:r>
      <w:r>
        <w:rPr>
          <w:rFonts w:hint="eastAsia" w:ascii="宋体" w:hAnsi="宋体" w:eastAsia="仿宋_GB2312" w:cs="仿宋_GB2312"/>
          <w:kern w:val="0"/>
          <w:sz w:val="32"/>
          <w:szCs w:val="32"/>
          <w:lang w:eastAsia="zh-CN"/>
        </w:rPr>
        <w:t>：</w:t>
      </w:r>
    </w:p>
    <w:p w14:paraId="12B171EC">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经区管委同意，现将修订后的《威海火炬高技术产业开发区</w:t>
      </w:r>
      <w:r>
        <w:rPr>
          <w:rFonts w:hint="eastAsia" w:ascii="宋体" w:hAnsi="宋体" w:eastAsia="仿宋_GB2312" w:cs="仿宋_GB2312"/>
          <w:kern w:val="0"/>
          <w:sz w:val="32"/>
          <w:szCs w:val="32"/>
          <w:lang w:val="en-US" w:eastAsia="zh-CN"/>
        </w:rPr>
        <w:cr/>
      </w:r>
      <w:r>
        <w:rPr>
          <w:rFonts w:hint="eastAsia" w:ascii="宋体" w:hAnsi="宋体" w:eastAsia="仿宋_GB2312" w:cs="仿宋_GB2312"/>
          <w:kern w:val="0"/>
          <w:sz w:val="32"/>
          <w:szCs w:val="32"/>
          <w:lang w:val="en-US" w:eastAsia="zh-CN"/>
        </w:rPr>
        <w:t>重污染天气应急预案》印发给你们，请认真遵照执行。2023年11月9日印发的《威海火炬高技术产业开发区重污染天气应急预案》（威高党政办发〔2023〕34号）同时废止。</w:t>
      </w:r>
    </w:p>
    <w:p w14:paraId="2C582CCF">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宋体" w:hAnsi="宋体" w:eastAsia="仿宋_GB2312" w:cs="仿宋_GB2312"/>
          <w:kern w:val="0"/>
          <w:sz w:val="32"/>
          <w:szCs w:val="32"/>
          <w:lang w:val="en-US" w:eastAsia="zh-CN"/>
        </w:rPr>
      </w:pPr>
    </w:p>
    <w:p w14:paraId="0A84C8C5">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 xml:space="preserve">               威海火炬高技术产业开发区党政办公室</w:t>
      </w:r>
      <w:r>
        <w:rPr>
          <w:rFonts w:hint="eastAsia" w:ascii="宋体" w:hAnsi="宋体" w:eastAsia="仿宋_GB2312" w:cs="仿宋_GB2312"/>
          <w:kern w:val="0"/>
          <w:sz w:val="32"/>
          <w:szCs w:val="32"/>
          <w:lang w:val="en-US" w:eastAsia="zh-CN"/>
        </w:rPr>
        <w:cr/>
      </w:r>
      <w:r>
        <w:rPr>
          <w:rFonts w:hint="eastAsia" w:ascii="宋体" w:hAnsi="宋体" w:eastAsia="仿宋_GB2312" w:cs="仿宋_GB2312"/>
          <w:kern w:val="0"/>
          <w:sz w:val="32"/>
          <w:szCs w:val="32"/>
          <w:lang w:val="en-US" w:eastAsia="zh-CN"/>
        </w:rPr>
        <w:t xml:space="preserve">                              2025年3月28日</w:t>
      </w:r>
    </w:p>
    <w:p w14:paraId="6FBEDF99">
      <w:pPr>
        <w:keepNext w:val="0"/>
        <w:keepLines w:val="0"/>
        <w:pageBreakBefore w:val="0"/>
        <w:widowControl w:val="0"/>
        <w:kinsoku/>
        <w:wordWrap/>
        <w:overflowPunct/>
        <w:topLinePunct w:val="0"/>
        <w:autoSpaceDE/>
        <w:autoSpaceDN/>
        <w:bidi w:val="0"/>
        <w:adjustRightInd w:val="0"/>
        <w:snapToGrid w:val="0"/>
        <w:spacing w:line="510"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（此件公开发布）</w:t>
      </w:r>
    </w:p>
    <w:p w14:paraId="1BCA718D">
      <w:pPr>
        <w:rPr>
          <w:rFonts w:hint="eastAsia" w:ascii="宋体" w:hAnsi="宋体" w:eastAsia="方正小标宋简体" w:cs="方正小标宋简体"/>
          <w:sz w:val="44"/>
          <w:szCs w:val="44"/>
          <w:lang w:val="zh-CN" w:eastAsia="zh-CN" w:bidi="ar-SA"/>
        </w:rPr>
      </w:pPr>
      <w:r>
        <w:rPr>
          <w:rFonts w:hint="eastAsia" w:ascii="宋体" w:hAnsi="宋体" w:eastAsia="方正小标宋简体" w:cs="方正小标宋简体"/>
          <w:sz w:val="44"/>
          <w:szCs w:val="44"/>
          <w:lang w:val="zh-CN" w:eastAsia="zh-CN" w:bidi="ar-SA"/>
        </w:rPr>
        <w:br w:type="page"/>
      </w:r>
    </w:p>
    <w:p w14:paraId="749CF517">
      <w:pPr>
        <w:keepNext w:val="0"/>
        <w:keepLines w:val="0"/>
        <w:pageBreakBefore w:val="0"/>
        <w:widowControl w:val="0"/>
        <w:kinsoku/>
        <w:wordWrap/>
        <w:overflowPunct/>
        <w:topLinePunct w:val="0"/>
        <w:autoSpaceDE w:val="0"/>
        <w:autoSpaceDN w:val="0"/>
        <w:bidi w:val="0"/>
        <w:spacing w:line="578" w:lineRule="exact"/>
        <w:jc w:val="center"/>
        <w:textAlignment w:val="auto"/>
        <w:outlineLvl w:val="0"/>
        <w:rPr>
          <w:rFonts w:ascii="宋体" w:hAnsi="宋体" w:eastAsia="方正小标宋简体" w:cs="方正小标宋简体"/>
          <w:sz w:val="44"/>
          <w:szCs w:val="44"/>
          <w:lang w:val="zh-CN" w:eastAsia="zh-CN" w:bidi="ar-SA"/>
        </w:rPr>
      </w:pPr>
      <w:r>
        <w:rPr>
          <w:rFonts w:hint="eastAsia" w:ascii="宋体" w:hAnsi="宋体" w:eastAsia="方正小标宋简体" w:cs="方正小标宋简体"/>
          <w:sz w:val="44"/>
          <w:szCs w:val="44"/>
          <w:lang w:val="zh-CN" w:eastAsia="zh-CN" w:bidi="ar-SA"/>
        </w:rPr>
        <w:t>威海火炬高技术产业开发区</w:t>
      </w:r>
    </w:p>
    <w:p w14:paraId="1950046A">
      <w:pPr>
        <w:keepNext w:val="0"/>
        <w:keepLines w:val="0"/>
        <w:pageBreakBefore w:val="0"/>
        <w:widowControl w:val="0"/>
        <w:kinsoku/>
        <w:wordWrap/>
        <w:overflowPunct/>
        <w:topLinePunct w:val="0"/>
        <w:autoSpaceDE w:val="0"/>
        <w:autoSpaceDN w:val="0"/>
        <w:bidi w:val="0"/>
        <w:spacing w:line="578" w:lineRule="exact"/>
        <w:jc w:val="center"/>
        <w:textAlignment w:val="auto"/>
        <w:outlineLvl w:val="0"/>
        <w:rPr>
          <w:rFonts w:ascii="宋体" w:hAnsi="宋体" w:eastAsia="方正小标宋简体" w:cs="方正小标宋简体"/>
          <w:sz w:val="44"/>
          <w:szCs w:val="44"/>
          <w:lang w:val="zh-CN" w:eastAsia="zh-CN" w:bidi="ar-SA"/>
        </w:rPr>
      </w:pPr>
      <w:r>
        <w:rPr>
          <w:rFonts w:hint="eastAsia" w:ascii="宋体" w:hAnsi="宋体" w:eastAsia="方正小标宋简体" w:cs="方正小标宋简体"/>
          <w:sz w:val="44"/>
          <w:szCs w:val="44"/>
          <w:lang w:val="zh-CN" w:eastAsia="zh-CN" w:bidi="ar-SA"/>
        </w:rPr>
        <w:t>重污染天气应急预案</w:t>
      </w:r>
    </w:p>
    <w:p w14:paraId="03E0126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41A69E1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一、总则</w:t>
      </w:r>
    </w:p>
    <w:p w14:paraId="738DD9D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（一）编制目的</w:t>
      </w:r>
    </w:p>
    <w:p w14:paraId="136F246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为及时有效应对重污染天气，保障公众身体健康，满足人民群众日益增长的优美生态环境需要。</w:t>
      </w:r>
    </w:p>
    <w:p w14:paraId="1AF1CBA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（二）编制依据</w:t>
      </w:r>
    </w:p>
    <w:p w14:paraId="6ECA5F1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中华人民共和国环境保护法》《中华人民共和国大气污染防治法》《中华人民共和国突发事件应对法》《中共中央国务院关于深入打好污染防治攻坚战的意见》《山东省大气污染防治条例》《山东省突发事件应对条例》《深入打好重污染天气消除、臭氧污染防治和柴油货车污染治理攻坚战行动方案》《山东省突发事件总体应急预案》《山东省重污染天气应急预案》《威海市突发事件总体应急预案》《威海市重污染天气应急预案》等规定。</w:t>
      </w:r>
    </w:p>
    <w:p w14:paraId="5FC717E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（三）适用范围</w:t>
      </w:r>
    </w:p>
    <w:p w14:paraId="0C8096D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适用于威海火炬高技术产业开发区区域内出现重污染天气时的应急工作。对不同污染物造成的重污染天气，采取差异化应对措施。因细颗粒物（PM2.5）污染造成的重污染天气，应严格按照相关法律法规和本预案有关规定积极应对；因臭气（O3）污染造成的重污染天气，应及时向社会发布健康提示信息，同时加强对挥发性有机物（VOCs）和氮氧化物（NOx）排放源的日常监管；因沙尘、山火、局地扬沙、国境外传输等不可控因素造成的重污染天气，应及时向社会发布健康提示信息，引导公众采取健康防护措施，可视情采取加强扬尘源管控等措施。</w:t>
      </w:r>
    </w:p>
    <w:p w14:paraId="37D33B2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（四）预案体系</w:t>
      </w:r>
    </w:p>
    <w:p w14:paraId="461F902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全区重污染天气应急预案体系包括本预案及限产、停产企业编制的重污染天气应急响应减排操作方案（以下简称“企业减排操作方案”）。</w:t>
      </w:r>
    </w:p>
    <w:p w14:paraId="4F1D4B2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（五）工作原则</w:t>
      </w:r>
    </w:p>
    <w:p w14:paraId="4A77A90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1.以人为本，统筹兼顾；</w:t>
      </w:r>
    </w:p>
    <w:p w14:paraId="635D2C1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2.积极预防，加强应急；</w:t>
      </w:r>
    </w:p>
    <w:p w14:paraId="1500A74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3.属地负责，部门联动；</w:t>
      </w:r>
    </w:p>
    <w:p w14:paraId="5ECB6D3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4.信息公开，社会参与。</w:t>
      </w:r>
    </w:p>
    <w:p w14:paraId="4B3ECD4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二、组织体系</w:t>
      </w:r>
    </w:p>
    <w:p w14:paraId="1D44595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（一）领导机构</w:t>
      </w:r>
    </w:p>
    <w:p w14:paraId="2873C22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1.指挥机构组成</w:t>
      </w:r>
    </w:p>
    <w:p w14:paraId="759855C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立区重污染天气应急指挥部（以下简称区应急指挥部），总指挥由区管委分管副主任担任，副总指挥由区党政办公室分管副主任和生态环境分局局长担任，成员由区党政办公室、经济发展局、财政金融局、建设局、城市管理服务中心、高新控股集团、自然资源和规划分局、生态环境分局、教育体育发展中心、社会事业局、交警二大队、交警四大队，联通高区公司、移动高区公司、电信高区分公司、威海供电公司高区供电中心以及各镇街相关负责人组成。</w:t>
      </w:r>
    </w:p>
    <w:p w14:paraId="55BE640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负责全区重污染天气应急领导工作，组织修订重污染天气应急预案；负责预警的发布、解除和应急响应的启动、实施、终止，组织协调信息公开等；研究解决防范和应对重污染天气工作中的有关问题；承担市重污染天气应急指挥部（以下简称“市应急指挥部”）交办的其他工作。</w:t>
      </w:r>
    </w:p>
    <w:p w14:paraId="06A64C0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2.成员单位职责</w:t>
      </w:r>
    </w:p>
    <w:p w14:paraId="6F02DF3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（1）党政办公室：负责牵头协调新闻宣传和舆情处置工作，会同区应急指挥部办公室适时组织召开新闻发布会或通气会；完成区应急指挥部交办的其他事项。</w:t>
      </w:r>
    </w:p>
    <w:p w14:paraId="19129F5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（2）经济发展局：负责会同生态环境分局、各镇街落实重点行业错峰生产工作；完成区应急指挥部交办的其他事项。</w:t>
      </w:r>
    </w:p>
    <w:p w14:paraId="0203CA4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（3）财政金融局：负责为区应急指挥部各成员单位开展重污染天气应急工作提供资金保障；完成区应急指挥部交办的其他事项。</w:t>
      </w:r>
    </w:p>
    <w:p w14:paraId="7E43CEB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建设局：负责施工工程、市政建设工程扬尘污染防治工作，已出让未开发建设的工业用地扬尘污染防治工作；施工工地内国二及以下非道路移动机械的停用；室外喷涂、粉刷、切割、护坡喷浆作业挥发性有机物控制措施和道路洒水保洁措施；完成区应急指挥部交办的其他事项。</w:t>
      </w:r>
    </w:p>
    <w:p w14:paraId="47E960A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（5）城市管理服务中心：负责加强对违规运输渣土、垃圾等车辆的查处；负责加强对扬撒遗漏现象的查处；洗砂场的扬尘污染防治工作；完成区应急指挥部交办的其他事项。</w:t>
      </w:r>
    </w:p>
    <w:p w14:paraId="6235084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（6）高新控股集团：负责所管理的未开发建设的土地的扬尘污染防治；完成区应急指挥部交办的其他事项。</w:t>
      </w:r>
    </w:p>
    <w:p w14:paraId="13A4AF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（7）自然资源和规划分局：负责已出让未开发建设地块（除工业用地）的扬尘管控工作；负责对地块进行权属认定；完成区应急指挥部交办的其他事项。</w:t>
      </w:r>
    </w:p>
    <w:p w14:paraId="20D8A77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8）生态环境分局：负责提出预警建议；开展重污染天气空气质量监测、预测和预报；配合交警部门落实高排放车辆控制措施；负责工业企业扬尘污染防治工作；会同各镇街对应采取限产、停产措施的企业采取响应措施；完成区应急指挥部交办的其他事项。</w:t>
      </w:r>
    </w:p>
    <w:p w14:paraId="00BD89F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（9）教育体育发展中心：负责指导和督促管理范围内的中小学、幼儿园以及学科类、科技类、体育类校外培训机构做好健康防护工作；完成区应急指挥部交办的其他事项。</w:t>
      </w:r>
    </w:p>
    <w:p w14:paraId="0890D91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（10）社会事业局：负责组织医疗机构做好医疗救治工作；组织开展重污染天气健康防护常识宣教工作；完成区应急指挥部交办的其他事项。</w:t>
      </w:r>
    </w:p>
    <w:p w14:paraId="75D6503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11）交警二大队、交警四大队：负责制定执行高排放车辆临时禁、限行方案；加大对渣土车、砂石车等违反规定上路行驶的检查执法力度；加大对违规驶入禁行区域各类车辆的查处力度；完成区应急指挥部交办的其他事项。</w:t>
      </w:r>
    </w:p>
    <w:p w14:paraId="69150F1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（12）联通高区公司、移动高区公司、电信高区分公司：保障通信畅通，按照区应急指挥部的要求，及时向居民通告大气重污染应急信息。</w:t>
      </w:r>
    </w:p>
    <w:p w14:paraId="4BC3BDD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（13）威海供电公司高区供电中心：按照区应急指挥部的要求，依法依规在重污染天气应急响应时对停产、限产企业采取相应的停限电措施，并汇总全区工业用电量下降值；完成区应急指挥部交办的其他事项。</w:t>
      </w:r>
    </w:p>
    <w:p w14:paraId="37B9D4F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（14）各镇街：负责辖区内收储地块及其他裸露土地的扬尘污染防治工作；负责本区域重污染天气应急相关工作；完成区应急指挥部交办的其他事项。</w:t>
      </w:r>
    </w:p>
    <w:p w14:paraId="192FFD2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无主砂料堆放场地整改主体以土地权属确定。</w:t>
      </w:r>
    </w:p>
    <w:p w14:paraId="5D5E7F8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（二）办事机构</w:t>
      </w:r>
    </w:p>
    <w:p w14:paraId="326353A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区应急指挥部办公室设在生态环境分局，作为区应急指挥部日常办事机构，由生态环境分局局长兼任办公室主任。</w:t>
      </w:r>
    </w:p>
    <w:p w14:paraId="2A8535A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办公室负责履行应急值守、信息汇总和综合协调职责，发挥运转枢纽作用；协调区应急指挥部各成员单位开展应急处置；组织做好预案演练、宣传教育、监督检查等工作；完成区应急指挥部交办的其他工作。</w:t>
      </w:r>
    </w:p>
    <w:p w14:paraId="043AC5F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（三）工作组</w:t>
      </w:r>
    </w:p>
    <w:p w14:paraId="6ABF687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1.预报预警组</w:t>
      </w:r>
    </w:p>
    <w:p w14:paraId="0FA1922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由生态环境分局负责根据市级通报空气质量和气象观测数据，对全区大气环境质量进行预报，确定重污染天气的预报预警信息，并及时上报区应急指挥部。</w:t>
      </w:r>
    </w:p>
    <w:p w14:paraId="6CA7AB4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2.应急处置组</w:t>
      </w:r>
    </w:p>
    <w:p w14:paraId="2287E36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由区应急指挥部各成员单位组成，负责按照各自职责分工开展应急工作。</w:t>
      </w:r>
    </w:p>
    <w:p w14:paraId="71A5BFD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3.信息公开和宣传组</w:t>
      </w:r>
    </w:p>
    <w:p w14:paraId="2DEB1FB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由党政办公室、生态环境分局、联通高区公司、移动高区公司、电信高区分公司组成，负责重污染天气发生时的新闻宣传和舆情引导等工作。</w:t>
      </w:r>
    </w:p>
    <w:p w14:paraId="7FFE6B8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4.医疗防护组</w:t>
      </w:r>
    </w:p>
    <w:p w14:paraId="51CA934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由社会事业局、教育体育发展中心组成，负责指导各级医疗卫生机构做好医疗救护等工作，指导和监督中小学及幼儿园实施健康防护工作。</w:t>
      </w:r>
    </w:p>
    <w:p w14:paraId="0B30229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5.专家咨询组</w:t>
      </w:r>
    </w:p>
    <w:p w14:paraId="3E6CAE2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由生态环境分局协调市生态环境局委派相关技术人员组成，参加区应急指挥部统一组织的活动和专题研究；按照区应急指挥部的要求，科学分析重污染天气发展趋势，为决策提供技术支持和对策建议；参与重污染天气应急工作。</w:t>
      </w:r>
    </w:p>
    <w:p w14:paraId="7B0D9E9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三、运行机制</w:t>
      </w:r>
    </w:p>
    <w:p w14:paraId="6251E2D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（一）预警与预防</w:t>
      </w:r>
    </w:p>
    <w:p w14:paraId="5657392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1.应急预防</w:t>
      </w:r>
    </w:p>
    <w:p w14:paraId="658195D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（1）应对重污染天气的预防措施</w:t>
      </w:r>
    </w:p>
    <w:p w14:paraId="7A2B15D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采暖期：建设局、城市管理服务中心、高新控股集团、自然资源和规划分局、经济发展局、生态环境分局、交警二大队、交警四大队等部门按照各自职责，联合开展针对工业废气排放、各类扬尘源、机动车限行等工作的专项行动，严厉打击污染大气环境的各类违法违规行为。鼓励企业将设备检修、维护时间安排在冬季采暖期。</w:t>
      </w:r>
    </w:p>
    <w:p w14:paraId="4E58C09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非采暖期：建设局、城市管理服务中心、自然资源和规划分局、经济发展局、生态环境分局、交警二大队、交警四大队等部门按照各自职责，联合开展针对工业有机废气排放、移动源管控等专项行动，严厉打击污染大气环境的各类违法违规行为。鼓励企业加强挥发性有机物治理，鼓励使用大量有机溶剂的户外工程错时作业。</w:t>
      </w:r>
    </w:p>
    <w:p w14:paraId="5C1B1ED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（2）重污染天气的应急准备</w:t>
      </w:r>
    </w:p>
    <w:p w14:paraId="31D4622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生态环境分局根据本区域污染源的大气污染物排放量和社会敏感度，列出重污染天气应急响应各类减排清单，在各级别应急响应措施中，基于绩效分级对重点行业工业企业进行差异化管控，列入限产、停产名单的企业要以“可操作、可监测、可核查”为原则，制定企业操作方案。对不可临时中断的生产线或生产工序，应提前调整生产计划，确保预警期间能够落实减排措施；对于为确保停产状态下生产安全，需保持一定生产负荷的企业，要明确确保维持停产状态生产安全的最低负荷，并具有充分的科学依据或专家意见。</w:t>
      </w:r>
    </w:p>
    <w:p w14:paraId="01F1340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区应急指挥部办公室负责组织应急管理培训和应急预案演练。</w:t>
      </w:r>
    </w:p>
    <w:p w14:paraId="488C6C7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2.监测与会商</w:t>
      </w:r>
    </w:p>
    <w:p w14:paraId="484208D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生态环境分局负责及时收集、报送有关信息并转发市级通报的预测预警信息。在重污染天气应急响应期间，加密会商频次，必要时组织专家开展集体会商。当预测可能出现3天及以上重污染天气时，按空气质量预报结果上限确定预警级别。</w:t>
      </w:r>
    </w:p>
    <w:p w14:paraId="52A5A62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3.预警分级</w:t>
      </w:r>
    </w:p>
    <w:p w14:paraId="5537AD5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重污染天气预警统一以空气质量指数（AQI）为指标</w:t>
      </w:r>
    </w:p>
    <w:p w14:paraId="660BD99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AQI日均值按连续24小时（可以跨自然日）均值计算。预警级别由低到高分为黄色、橙色和红色预警三级。</w:t>
      </w:r>
    </w:p>
    <w:p w14:paraId="4BE127F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黄色预警：预测日AQI＞200或日AQI＞150持续48小时及以上，且未达到高级别预警条件；</w:t>
      </w:r>
    </w:p>
    <w:p w14:paraId="2050A49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橙色预警：预测日AQI＞200持续48小时或日AQI＞150持续72小时及以上，且未达到高级别预警条件；</w:t>
      </w:r>
    </w:p>
    <w:p w14:paraId="47929BE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红色预警：预测日AQI＞200持续72小时且日AQI＞300持续24小时及以上。</w:t>
      </w:r>
    </w:p>
    <w:p w14:paraId="2C8D48D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4.预警发布</w:t>
      </w:r>
    </w:p>
    <w:p w14:paraId="6EECB66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生态环境分局负责开展辖区内重污染天气预警工作。根据市应急指挥部预警启动相应级别的预警。当市级预测未来空气质量可能达到预警条件时，区应急指挥部根据市级发布的预警信息开展应急工作。市应急指挥部未发布预警信息而本区域达到相应预警启动条件时，由区应急指挥部自行发布相应级别预警，预警信息发布后及时报市应急指挥部办公室备案。</w:t>
      </w:r>
    </w:p>
    <w:p w14:paraId="7D9821B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5.预警解除与调整</w:t>
      </w:r>
    </w:p>
    <w:p w14:paraId="45FF0B9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预警解除、预警等级的调整与预警发布的主体及程序保持一致。</w:t>
      </w:r>
    </w:p>
    <w:p w14:paraId="4B4E222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（1）预警解除。当空气质量改善到相应级别预警启动标准以下，且预测将持续36小时以上时，可以降低预警级别或解除预警，并提前发布信息。</w:t>
      </w:r>
    </w:p>
    <w:p w14:paraId="0EDE2A6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（2）预警调整。当预测发生前后两次重污染过程，且间隔时间未达到解除预警条件时，应按一次重污染过程计算，从高级别启动预警。当预测或监测空气质量达到更高级别预警条件时，应尽早采取升级措施。</w:t>
      </w:r>
    </w:p>
    <w:p w14:paraId="021F265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（二）应急响应措施</w:t>
      </w:r>
    </w:p>
    <w:p w14:paraId="6F92D80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1.动态修订减排清单</w:t>
      </w:r>
    </w:p>
    <w:p w14:paraId="3852313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按照要求及时修订应急减排清单，充分利用排污许可证管理信息、污染源普查和源清单编制成果，对重点涉气工业企业进行逐一排查，确保重点行业工业企业全部纳入应急减排清单，非重点行业但属于城市主要涉气企业的，一并纳入应急减排清单管理，其他行业视情纳入。应避免对居民供暖锅炉和对空气质量影响小的生活服务业采取限停产措施。</w:t>
      </w:r>
    </w:p>
    <w:p w14:paraId="57AFFD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2.实行差异化应急管控</w:t>
      </w:r>
    </w:p>
    <w:p w14:paraId="6562701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为进一步突出精准治污、科学治污、依法治污，对重点行业工业企业实行绩效分级和差异化管控，对涉及民生需求的工业企业、重点建设工程加强应急保障。</w:t>
      </w:r>
    </w:p>
    <w:p w14:paraId="20BAC19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对国家、省、市未制定绩效分级标准的工业企业，可结合实际，对大气污染物排放量多、环境影响较大的行业企业，参照制定响应的绩效分级标准和差异化应急减排措施。严格落实企业绩效分级工作程序，确保绩效分级结果公开、公平、公正。</w:t>
      </w:r>
    </w:p>
    <w:p w14:paraId="1C85605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保障类工业企业。对涉及居民供电、供暖、承担协同处置城市生活垃圾或危险废物、重大疫情防控物资生产、能源保供等保障民生和城市正常运转的工业企业以及涉军、涉政类生产企业，纳入保障类企业管理，实施“以热定产”或“以量定产”。应认真审核需纳入保障类的企业名单，原则上，对于重点行业内的保障类企业，应达到B级及以上绩效等级水平。对承担协同处置城市生活垃圾或危险废物等保障民生任务的企业，要统筹民生任务分配，严禁故意分散处置任务。对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保障类企业在预警期间仅准许从事特定保障任务的生产经营，若超出允许生产经营范围，或未达到相关环保要求的，一经发现，立即移除保障类清单。</w:t>
      </w:r>
    </w:p>
    <w:p w14:paraId="09F7444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重点建设工程。对重点保障性建设工程，需要纳入保障类的，由市级相关主管部门确认后，在污染防治措施满足扬尘管控要求的情况下，纳入保障类减排清单，根据实际情况采取减排措施，不得采取全面停工、停产措施。如保障类工程未达到相关要求的，一经发现，应立即移出保障类清单。</w:t>
      </w:r>
    </w:p>
    <w:p w14:paraId="6B37503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小微涉气企业。对于非燃煤、非燃油，污染物组分单一、排放的大气污染物无有毒有害及恶臭气体、污染物年排放总量100千克以下的企业（对于季节性生产企业，应按上述要求以日核算排放量），在满足城市总体减排要求的情况下，可不采取停限产措施。</w:t>
      </w:r>
    </w:p>
    <w:p w14:paraId="521641C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3.精准实施应急减排措施</w:t>
      </w:r>
    </w:p>
    <w:p w14:paraId="0D60F51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对纳入应急减排清单的企业，应当组织制定“一厂一策”企业减排操作方案，载明企业主要生产工艺流程、主要涉气产排污环节及污染物排放情况，并据此确定不同级别预警下的应急减排措施，明确具体的停限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排放污染物的生产线或主要产排污环节（设备）停产为主；对不可临时中断的生产线或生产工序，应根据季节特点，指导企业预先调整生产计划，确保预警期间能够落实减排措施。对生产工序不可中断，通过采取提高治污效率、限制生产负荷等措施减排的生产线或生产工序，应当依法安装废气自动监控设施和分布式控制系统，并提供1年以上数据记录。避免对非涉气工序、生产设施采取限停产措施，确保应急管控措施精准到位，降低对企业正常生产经营影响。</w:t>
      </w:r>
    </w:p>
    <w:p w14:paraId="4A594CC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4.认真落实安全生产要求</w:t>
      </w:r>
    </w:p>
    <w:p w14:paraId="2731C75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在重污染天气应对过程中，督促企业自觉在污染防治设施启动、停运、检修时，严格落实安全生产相关要求，需要安全监管部门审批的，必须批准后方可实施。在环境执法过程中，要坚持实事求是、科学严谨，坚决防止施行强制措施产生安全隐患。</w:t>
      </w:r>
    </w:p>
    <w:p w14:paraId="02F6B2B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（三）应急响应级别</w:t>
      </w:r>
    </w:p>
    <w:p w14:paraId="71A71A8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1.Ⅲ级响应</w:t>
      </w:r>
    </w:p>
    <w:p w14:paraId="04F6A66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（1）启动条件：当发布黄色预警时，同时启动Ⅲ级响应。</w:t>
      </w:r>
    </w:p>
    <w:p w14:paraId="02FEE52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（2）启动程序：区应急指挥部办公室组织有关部门进行会商评估，提出启动Ⅲ级应急响应建议后，由区应急指挥部启动Ⅲ级应急响应。由区应急指挥部总指挥签发启动Ⅲ级应急响应公告。</w:t>
      </w:r>
    </w:p>
    <w:p w14:paraId="01F2C98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（3）Ⅲ级响应时，应当至少采取以下措施：</w:t>
      </w:r>
    </w:p>
    <w:p w14:paraId="5103592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7A5724F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②倡议性减排措施。倡导公众绿色出行、绿色消费，尽量减少能源消耗，尽量减少含挥发性有机物的涂料、油漆、溶剂等原材料及产品的使用。</w:t>
      </w:r>
    </w:p>
    <w:p w14:paraId="0523372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③强制性减排措施。全社会二氧化硫（SO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）、氮氧化物（NOx）、颗粒物（PM）和挥发性有机物（VOCs）等主要污染物减排比例达到全社会排放量的10%以上，可内部调整SO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和NOx的减排比例，但二者减排比例之和不应低于20%。对达不到总体减排比例要求的，应进一步加大应急减排力度；确实无法达到的，应尽量满足最大减排能力，在提供详细的测算说明和清单的基础上，可酌情降低减排比例。</w:t>
      </w:r>
    </w:p>
    <w:p w14:paraId="57B8F9C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扬尘源减排措施。执行扬尘源应急减排清单确定的黄色预警减排措施。矿山、砂石料场、石材厂、石板厂等停止露天作业；除应急抢险外的施工工地禁止土石方作业、建筑拆除、喷涂粉刷、护坡喷浆、混凝土搅拌等；主干道和易产生扬尘路段在道路日常保洁、洒水的基础上，每天增加2次洒水降尘作业频次（结冰期等特殊气象情况除外）。</w:t>
      </w:r>
    </w:p>
    <w:p w14:paraId="7E92FAF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移动源减排措施。未安装密闭装置易产生遗撒的煤炭、渣土、砂石料等运输车辆应禁止上路。主城区内应采取国四及以下排放标准柴油货车、三轮汽车、拖拉机等限制通行的措施。加大不合格非道路移动机械监督检查频次，依法查处违法行为。</w:t>
      </w:r>
    </w:p>
    <w:p w14:paraId="1D6DE4F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工业源减排措施。执行重污染天气应急预案及工业源应急减排清单确定的黄色预警减排措施。</w:t>
      </w:r>
    </w:p>
    <w:p w14:paraId="2DDCD26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2.Ⅱ级响应</w:t>
      </w:r>
    </w:p>
    <w:p w14:paraId="08D67F1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（1）启动条件：当发布橙色预警时，同时启动Ⅱ级响应。</w:t>
      </w:r>
    </w:p>
    <w:p w14:paraId="4E03BFA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（2）启动程序：区应急指挥部办公室组织有关部门进行会商评估，提出启动Ⅱ级应急响应建议后，由区应急指挥部启动Ⅱ级应急响应。由区应急指挥部总指挥签发启动Ⅱ级应急响应公告。</w:t>
      </w:r>
    </w:p>
    <w:p w14:paraId="62A71F9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（3）响应措施：Ⅱ级应急响应措施在执行Ⅲ级响应措施的基础上，增加如下措施：</w:t>
      </w:r>
    </w:p>
    <w:p w14:paraId="603E249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①健康防护指引。停止举办大型群众性户外活动。</w:t>
      </w:r>
    </w:p>
    <w:p w14:paraId="0CAB819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②倡议性减排措施。公共交通管理部门加大公交运力，合理调整城市公共交通工具营运频次和营运时间，提高公共交通出行率。</w:t>
      </w:r>
    </w:p>
    <w:p w14:paraId="28BDF56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③强制性减排措施。全社会SO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、NOx和PM、VOCs等主要污染物减排比例应分别达到全社会排放量的20%以上，可内部调整SO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和NOx的减排比例，但二者减排比例之和不应低于40%。对达不到总体减排比例要求的，应进一步加大应急减排力度；确实无法达到的，应尽量满足最大减排能力，在提供详细的测算说明和清单的基础上，可酌情降低减排比例。</w:t>
      </w:r>
    </w:p>
    <w:p w14:paraId="0FAB846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扬尘源减排措施。执行扬尘源应急减排清单确定的橙色预警减排措施。可结合实际采取更加严格的扬尘源管控措施。</w:t>
      </w:r>
    </w:p>
    <w:p w14:paraId="697E8AA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移动源减排措施。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除城市运行保障车辆和执行特种任务车辆外，中心城区、城市建成区内，应禁止国四及以下排放标准重型和中型柴油货车、三轮汽车、低速载货汽车和拖拉机通行。汽修厂停止喷漆行为。</w:t>
      </w:r>
    </w:p>
    <w:p w14:paraId="2BDFCF5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工业源减排措施。执行重污染天气应急预案及工业源应急减排清单确定的橙色预警减排措施。</w:t>
      </w:r>
    </w:p>
    <w:p w14:paraId="0ED95DE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3.Ⅰ级响应措施</w:t>
      </w:r>
    </w:p>
    <w:p w14:paraId="4CB5842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（1）启动条件：当发布红色预警时，同时启动Ⅰ级响应。</w:t>
      </w:r>
    </w:p>
    <w:p w14:paraId="11EAEC1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（2）启动程序：区应急指挥部办公室组织有关部门进行会商评估，提出启动Ⅰ级应急响应建议后，由区应急指挥部启动Ⅰ级应急响应。由区应急指挥部总指挥签发启动Ⅰ级应急响应公告。</w:t>
      </w:r>
    </w:p>
    <w:p w14:paraId="6DC3949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（3）响应措施：Ⅰ级应急响应措施在执行Ⅱ级响应措施基础上，增加以下措施：</w:t>
      </w:r>
    </w:p>
    <w:p w14:paraId="0A92079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①健康防护指引。在教育体育发展中心指导下，根据实际情况采取弹性教学等措施。接到红色预警且AQI日均值达到500时，学校可采取停课措施。医疗机构适当增加急诊、门诊医务人员数量。</w:t>
      </w:r>
    </w:p>
    <w:p w14:paraId="5021976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②倡议性减排措施。倡导企事业单位结合重污染天气实际情况、应急响应措施，采取调休、错峰上下班等弹性工作制。</w:t>
      </w:r>
    </w:p>
    <w:p w14:paraId="5814F04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③强制性减排措施。全社会SO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、NOx、PM、VOCs等主要污染物减排比例达到30%以上，可内部调整SO</w:t>
      </w:r>
      <w:r>
        <w:rPr>
          <w:rFonts w:hint="eastAsia" w:ascii="宋体" w:hAnsi="宋体" w:eastAsia="仿宋_GB2312" w:cs="仿宋_GB2312"/>
          <w:kern w:val="0"/>
          <w:sz w:val="32"/>
          <w:szCs w:val="32"/>
          <w:vertAlign w:val="subscript"/>
          <w:lang w:val="en-US" w:eastAsia="zh-CN"/>
        </w:rPr>
        <w:t>2</w:t>
      </w:r>
      <w:r>
        <w:rPr>
          <w:rFonts w:hint="eastAsia" w:ascii="宋体" w:hAnsi="宋体" w:eastAsia="仿宋_GB2312" w:cs="仿宋_GB2312"/>
          <w:kern w:val="0"/>
          <w:sz w:val="32"/>
          <w:szCs w:val="32"/>
          <w:lang w:val="en-US" w:eastAsia="zh-CN"/>
        </w:rPr>
        <w:t>和NOx的减排比例，但二者减排比例之和不应低于60%。对达不到总体减排比例要求的，应进一步加大应急减排力度；确实无法达到的，应尽量满足最大减排能力，在提供详细的测算说明和清单的基础上，可酌情降低减排比例。</w:t>
      </w:r>
    </w:p>
    <w:p w14:paraId="4E3B15A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扬尘源减排措施。执行扬尘源应急减排清单确定的红色预警减排措施。采取更加严格的扬尘源管控措施。</w:t>
      </w:r>
    </w:p>
    <w:p w14:paraId="1FEB2C1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移动源减排措施。经区应急指挥部同意和市应急指挥部同意，采取限制部分机动车行驶等更加严格的机动车管控措施。</w:t>
      </w:r>
    </w:p>
    <w:p w14:paraId="649E969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工业企业减排措施：执行重污染天气应急预案及工业源应急减排清单确定的红色预警减排措施。</w:t>
      </w:r>
    </w:p>
    <w:p w14:paraId="59B8DC8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（四）应急响应终止</w:t>
      </w:r>
    </w:p>
    <w:p w14:paraId="559CB92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预警解除后，应急响应自动终止。</w:t>
      </w:r>
    </w:p>
    <w:p w14:paraId="599A3F2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（五）信息报送</w:t>
      </w:r>
    </w:p>
    <w:p w14:paraId="2917B0D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预警信息发布4小时内，区应急指挥部办公室将本次应对重污染天气实施限产、停产企业和停工工地名单报市应急指挥部办公室。</w:t>
      </w:r>
    </w:p>
    <w:p w14:paraId="7E14E95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应急响应期间，区应急指挥部成员单位于每日14时前将应急措施落实情况报区应急指挥部办公室，汇总后于当日15时前报市应急指挥部办公室。</w:t>
      </w:r>
    </w:p>
    <w:p w14:paraId="203B253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（六）总结评估</w:t>
      </w:r>
    </w:p>
    <w:p w14:paraId="249CA64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重污染天气应急工作结束后，区应急指挥部成员单位要在应急响应终止3个工作日内对重污染天气应急状况进行总结、评估，并将应急响应评估报告报送区应急指挥部。评估报告应包括重污染天气应急响应采取的措施、取得的成效、发现的问题，并针对存在突出问题，提出改进措施等。</w:t>
      </w:r>
    </w:p>
    <w:p w14:paraId="25FF333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区应急指挥部要根据重污染天气应急情况和有关要求，及时完善重污染天气应急工作机制，强化监督管理措施，确保各项应急措施落实到位，发挥应急工作“削峰降频”作用，切实减少重污染天气影响。</w:t>
      </w:r>
    </w:p>
    <w:p w14:paraId="62E4D4D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（七）信息公开</w:t>
      </w:r>
    </w:p>
    <w:p w14:paraId="2FC1DFD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1.应急预案发布</w:t>
      </w:r>
    </w:p>
    <w:p w14:paraId="4502CAF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按照市有关要求及时组织修订应急预案和应急减排清单，按照市级规定的时间完成并向社会公布。</w:t>
      </w:r>
    </w:p>
    <w:p w14:paraId="0A3DE1A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2.预警信息公开</w:t>
      </w:r>
    </w:p>
    <w:p w14:paraId="6FDF08B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（1）公开内容。预警期间信息公开的内容主要包括环境空气质量监测数据、重污染天气可能持续的时间、污染程度、潜在的危害及防范建议、应急工作进展情况等。</w:t>
      </w:r>
    </w:p>
    <w:p w14:paraId="4475F96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公开形式。通过报刊、广播、电视、网络等各类媒体，以信息发布、科普宣传、情况通报、专家访谈等形式向社会公布。新闻媒体、电信运营商应按照当地政府或预警发布部门要求，及时、无偿向社会公开发布预警信息。任何单位和个人不得擅自向社会发布重污染天气预报预警信息。</w:t>
      </w:r>
    </w:p>
    <w:p w14:paraId="105E90C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（3）公开单位。区应急指挥部负责全区重污染天气应急信息公开，区党政办公室负责新闻宣传和舆情引导处置。</w:t>
      </w:r>
    </w:p>
    <w:p w14:paraId="23D8341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（4）公开时间。在重污染应急启动期间，应适时公开环境空气质量状况、应急工作进展情况等信息，通过各种媒体平台不断进行发布。</w:t>
      </w:r>
    </w:p>
    <w:p w14:paraId="6DFC883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四、应急保障</w:t>
      </w:r>
    </w:p>
    <w:p w14:paraId="2ACB71D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（一）经费保障</w:t>
      </w:r>
    </w:p>
    <w:p w14:paraId="20D3979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要加大重污染天气应对资金投入力度，将重污染天气应急所需资金按规定程序列入预算，为重污染天气监测、预警、应急处置、监督检查，以及应急基础设施建设、运行和维护，应急技术支持等各项工作提供资金保障。</w:t>
      </w:r>
    </w:p>
    <w:p w14:paraId="0428E76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（二）物资保障</w:t>
      </w:r>
    </w:p>
    <w:p w14:paraId="2CB8C39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应急指挥部要制定应急期间应急仪器、车辆、人员防护装备调配计划，明确各项应急物资的储备维护主体、种类与数量。各有关部门应根据各自职能分工，配备种类齐全、数量充足的应急仪器、车辆和防护器材等硬件装备，做好日常管理和维护保养，确保重污染天气应对工作顺利开展。</w:t>
      </w:r>
    </w:p>
    <w:p w14:paraId="40EC533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（三）预报能力保障</w:t>
      </w:r>
    </w:p>
    <w:p w14:paraId="665AA70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重点加强环境空气质量预报预警能力建设。</w:t>
      </w:r>
    </w:p>
    <w:p w14:paraId="6A37234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（四）通信与信息保障</w:t>
      </w:r>
    </w:p>
    <w:p w14:paraId="5510FCD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区管委及各有关部门要建立重污染天气应急值守制度，健全通信和信息保障机制，明确重污染天气应急负责人和联络员，并保持24小时通信畅通，保证应急信息和指令的及时有效传达。</w:t>
      </w:r>
    </w:p>
    <w:p w14:paraId="1B0F48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（五）医疗卫生保障</w:t>
      </w:r>
    </w:p>
    <w:p w14:paraId="4110295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社会事业局负责组织指导做好重污染天气疾病突发患者的医疗救治工作。</w:t>
      </w:r>
    </w:p>
    <w:p w14:paraId="3795B56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五、监督管理</w:t>
      </w:r>
    </w:p>
    <w:p w14:paraId="6A31015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（一）预案演练</w:t>
      </w:r>
    </w:p>
    <w:p w14:paraId="193033B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定期组织应急预案演练，明确演练目的、方式、参与人员、内容、规则以及场景等，重点检验重污染天气预警信息发布、应急响应措施落实、监督检查执行等情况，演练后要及时进行总结评估，提出改进建议，不断完善应急措施和机制。</w:t>
      </w:r>
    </w:p>
    <w:p w14:paraId="48FCB84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（二）宣传教育培训</w:t>
      </w:r>
      <w:bookmarkStart w:id="0" w:name="_GoBack"/>
      <w:bookmarkEnd w:id="0"/>
    </w:p>
    <w:p w14:paraId="3E08E19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1.宣传教育</w:t>
      </w:r>
    </w:p>
    <w:p w14:paraId="6779C67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党政办公室负责预警条件下应急宣传，组织相关单位及媒体依据应急预案开展重污染天气预警的信息发布，全面宣传重污染天气预警信息和应急响应措施，密切关注舆论，及时积极正面引导舆论，回应社会关切，动员社会参与，营造良好的舆论氛围。</w:t>
      </w:r>
    </w:p>
    <w:p w14:paraId="5F5351D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2.应急培训</w:t>
      </w:r>
    </w:p>
    <w:p w14:paraId="35E5F4B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建立健全重污染天气应急预案培训制度，根据应急预案职责分工，制定培训计划。区应急指挥部成员单位对各自职责的落实和监管方式进行培训，确保应急时监督执法到位；相关企事业单位对各自所需落实的应急措施进行技术培训，确保各项应急措施安全、有效、全面落实。</w:t>
      </w:r>
    </w:p>
    <w:p w14:paraId="1CE5CA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（三）责任追究</w:t>
      </w:r>
    </w:p>
    <w:p w14:paraId="59262C4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加大重污染天气应急期间工业源、移动源和扬尘源等减排措施的监管力度。加大对区应急指挥部成员单位履职情况的监督，对违纪违规、失职渎职行为进行严肃查处。相关职能部门加强对企事业单位应急措施落实情况的监督检查力度，对应急响应期间偷排偷放、屡查屡犯、自动监测数据造假、生产记录造假、不落实应急减排措施的企业，依法责令其停止生产，除予以经济处罚外，依法严格追究法律责任。对已评定绩效等级的工业企业、保障类工业企业和重点建设工程等，未达到相应要求的，按规定对环保绩效降级处理或移出保障类清单。</w:t>
      </w:r>
    </w:p>
    <w:p w14:paraId="3EE5FA7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六、附则</w:t>
      </w:r>
    </w:p>
    <w:p w14:paraId="6CCD910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（一）预案修订</w:t>
      </w:r>
    </w:p>
    <w:p w14:paraId="312256E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根据市重污染天气应急工作部署、市重污染天气应急预案的调整以及本预案实施过程中发现的问题等情况，区应急指挥部办公室负责对本预案适时进行修订和完善，并经区管委批准后执行。</w:t>
      </w:r>
    </w:p>
    <w:p w14:paraId="54E3934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（二）预案备案</w:t>
      </w:r>
    </w:p>
    <w:p w14:paraId="04578FF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重点工业企业“一厂一策”操作方案，应向区应急指挥部办公室备案。</w:t>
      </w:r>
    </w:p>
    <w:p w14:paraId="021AFC6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（三）发布实施</w:t>
      </w:r>
    </w:p>
    <w:p w14:paraId="161A703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本预案自发布之日起施行。</w:t>
      </w:r>
    </w:p>
    <w:p w14:paraId="17DF52A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3AF3C6F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附件：区应急指挥部办公室及各工作组行动细则</w:t>
      </w:r>
    </w:p>
    <w:p w14:paraId="6E8BB18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br w:type="page"/>
      </w:r>
    </w:p>
    <w:p w14:paraId="1B355576">
      <w:pPr>
        <w:keepNext w:val="0"/>
        <w:keepLines w:val="0"/>
        <w:pageBreakBefore w:val="0"/>
        <w:widowControl w:val="0"/>
        <w:kinsoku/>
        <w:wordWrap/>
        <w:overflowPunct/>
        <w:topLinePunct w:val="0"/>
        <w:autoSpaceDE/>
        <w:autoSpaceDN/>
        <w:bidi w:val="0"/>
        <w:adjustRightInd w:val="0"/>
        <w:snapToGrid w:val="0"/>
        <w:spacing w:line="578" w:lineRule="exact"/>
        <w:textAlignment w:val="auto"/>
        <w:outlineLvl w:val="9"/>
        <w:rPr>
          <w:rFonts w:hint="eastAsia" w:ascii="宋体" w:hAnsi="宋体" w:eastAsia="仿宋_GB2312" w:cs="仿宋_GB2312"/>
          <w:kern w:val="0"/>
          <w:sz w:val="32"/>
          <w:szCs w:val="32"/>
          <w:lang w:val="en-US" w:eastAsia="zh-CN"/>
        </w:rPr>
      </w:pPr>
      <w:r>
        <w:rPr>
          <w:rFonts w:hint="eastAsia" w:ascii="黑体" w:hAnsi="黑体" w:eastAsia="黑体" w:cs="黑体"/>
          <w:kern w:val="0"/>
          <w:sz w:val="32"/>
          <w:szCs w:val="32"/>
          <w:lang w:val="en-US" w:eastAsia="zh-CN"/>
        </w:rPr>
        <w:t>附件</w:t>
      </w:r>
    </w:p>
    <w:p w14:paraId="369BE5C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方正小标宋简体" w:hAnsi="方正小标宋简体" w:eastAsia="方正小标宋简体" w:cs="方正小标宋简体"/>
          <w:kern w:val="0"/>
          <w:sz w:val="44"/>
          <w:szCs w:val="44"/>
          <w:lang w:val="en-US" w:eastAsia="zh-CN"/>
        </w:rPr>
      </w:pPr>
    </w:p>
    <w:p w14:paraId="7EF68269">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区应急指挥部办公室及各工作组行动细则</w:t>
      </w:r>
    </w:p>
    <w:p w14:paraId="44E4582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71050503">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区应急指挥部办公室行动细则</w:t>
      </w:r>
    </w:p>
    <w:p w14:paraId="5EB684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1332C03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一、组成人员</w:t>
      </w:r>
    </w:p>
    <w:p w14:paraId="6696491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主任：生态环境分局局长。</w:t>
      </w:r>
    </w:p>
    <w:p w14:paraId="2AC79C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副主任：生态环境分局分管负责人。</w:t>
      </w:r>
    </w:p>
    <w:p w14:paraId="6725633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党政办公室、经济发展局、财政金融局、建设局、城市管理服务中心、生态环境分局、教育体育发展中心、社会事业局、交警二大队、交警四大队，联通高区公司、移动高区公司、电信高区分公司、威海供电公司高区供电中心以及各镇街分管负责人。</w:t>
      </w:r>
    </w:p>
    <w:p w14:paraId="79034D92">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二、行动细则</w:t>
      </w:r>
    </w:p>
    <w:p w14:paraId="27804F0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1.当预测可能出现重污染天气时，负责预警发布和解除的报批，并向区应急指挥部成员单位下达启动应急响应的命令。</w:t>
      </w:r>
    </w:p>
    <w:p w14:paraId="75F50E3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2.组织预警预报组及专家咨询组每日开展重污染天气会商。</w:t>
      </w:r>
    </w:p>
    <w:p w14:paraId="3D1C603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3.协调信息公开和宣传组及时开展信息公开工作。</w:t>
      </w:r>
    </w:p>
    <w:p w14:paraId="7E45EBD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4.协调应急处置组开展应急工作。</w:t>
      </w:r>
    </w:p>
    <w:p w14:paraId="0A4349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5.建立健全应急指挥信息系统，充分利用有线、无线等通信设备和媒体，完善各级空气重污染预警和响应联络网络。</w:t>
      </w:r>
    </w:p>
    <w:p w14:paraId="2615518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6.建立重污染天气应急值守制度，健全应急人员通信信息库，各部门应明确重污染天气应急负责人和联络员，并保持24小时通信畅通，确保应急信息和指令的及时有效传达。</w:t>
      </w:r>
    </w:p>
    <w:p w14:paraId="7425471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7.重污染天气应急期间，每天调度各成员单位应急响应措施的落实情况，及时上报市应急指挥部。</w:t>
      </w:r>
    </w:p>
    <w:p w14:paraId="3C92937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8.重污染天气应急响应终止3个工作日内，组织区应急指挥部各成员单位对重污染天气应急状况进行总结、评估。</w:t>
      </w:r>
    </w:p>
    <w:p w14:paraId="1723981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44420F4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31EEDF5E">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预报预警组行动细则</w:t>
      </w:r>
    </w:p>
    <w:p w14:paraId="1E516E7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33FE448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一、组成人员</w:t>
      </w:r>
    </w:p>
    <w:p w14:paraId="3856FF0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组长：生态环境分局局长。</w:t>
      </w:r>
    </w:p>
    <w:p w14:paraId="01905C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成员：生态环境分局相关负责人。</w:t>
      </w:r>
    </w:p>
    <w:p w14:paraId="56A0A3C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二、行动细则</w:t>
      </w:r>
    </w:p>
    <w:p w14:paraId="3A3CB25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1.根据市级通报空气质量数据，对全区大气环境质量进行预报，确定重污染天气预报预警信息，提出发布预警建议，并及时上报区应急指挥部办公室。</w:t>
      </w:r>
    </w:p>
    <w:p w14:paraId="4FB2E1D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2.根据空气质量加密会商频次。会商后及时将预报预警信息上报区应急指挥部办公室，为预警、响应提供决策依据。</w:t>
      </w:r>
    </w:p>
    <w:p w14:paraId="2D2E32B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cr/>
      </w:r>
    </w:p>
    <w:p w14:paraId="0BE0FD65">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应急处置组行动细则</w:t>
      </w:r>
    </w:p>
    <w:p w14:paraId="03BB983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3483242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一、组成人员</w:t>
      </w:r>
    </w:p>
    <w:p w14:paraId="4935BC81">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组长：生态环境分局局长。</w:t>
      </w:r>
    </w:p>
    <w:p w14:paraId="4C90EE9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成员：区应急指挥部各成员单位相关负责人。</w:t>
      </w:r>
    </w:p>
    <w:p w14:paraId="0074072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二、行动细则</w:t>
      </w:r>
    </w:p>
    <w:p w14:paraId="6BA7D26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启动应急响应后，各相关部门应立即采取以下措施：</w:t>
      </w:r>
    </w:p>
    <w:p w14:paraId="1126E2F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1.迅速落实应急响应的相应措施，对区域应急减排措施落实情况开展现场检查。</w:t>
      </w:r>
    </w:p>
    <w:p w14:paraId="4EDF528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2.生态环境分局、经济发展局、各镇街、威海供电公司高区供电中心等部门、单位结合职责分工，负责组织涉及大气污染物排放的企业落实应急减排停限产要求，组织落实工业企业减排要求。</w:t>
      </w:r>
    </w:p>
    <w:p w14:paraId="0218F8C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交警二大队、交警四大队、生态环境分局、建设局等部门负责组织实施高排放车辆临时禁、限行，城市建成区内工程运输车禁、限行，非道路工程机械（含挖掘机、装载机、平地机、铺路机、压路机、叉车等）停止使用等措施。</w:t>
      </w:r>
    </w:p>
    <w:p w14:paraId="6C7560D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4.建设局负责在城市主干道日常保洁、洒水的基础上，每天增加洒水降尘作业频次；组织落实好施工工地、道路扬尘等的减排措施；落实施工工地内国二及以下非道路移动机械的停用措施，室外喷涂、粉刷、切割、护坡喷浆作业挥发性有机物控制等措施；负责组织公路施工现场扬尘等污染防治措施。</w:t>
      </w:r>
    </w:p>
    <w:p w14:paraId="5E4EAF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5.应急响应结束2日内，区应急指挥部各成员单位向区应急指挥部办公室报送应急减排措施落实情况。</w:t>
      </w:r>
    </w:p>
    <w:p w14:paraId="29513CC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2EBCBE6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2EC845FF">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信息公开和宣传组行动细则</w:t>
      </w:r>
    </w:p>
    <w:p w14:paraId="7CBF97A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74916ECF">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一、重大及以上重污染天气应急行动</w:t>
      </w:r>
    </w:p>
    <w:p w14:paraId="6B6912D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楷体_GB2312" w:hAnsi="楷体_GB2312" w:eastAsia="楷体_GB2312" w:cs="楷体_GB2312"/>
          <w:kern w:val="0"/>
          <w:sz w:val="32"/>
          <w:szCs w:val="32"/>
          <w:lang w:val="en-US" w:eastAsia="zh-CN"/>
        </w:rPr>
        <w:t>（一）组成人员</w:t>
      </w:r>
    </w:p>
    <w:p w14:paraId="0FC108E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组长：党政办公室分管负责人。</w:t>
      </w:r>
    </w:p>
    <w:p w14:paraId="37504BC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副组长：生态环境分局分管负责人。</w:t>
      </w:r>
    </w:p>
    <w:p w14:paraId="12FEAC1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成员：党政办公室、生态环境分局、联通高区公司、移动高区公司、电信高区分公司等部门、单位相关负责人。</w:t>
      </w:r>
    </w:p>
    <w:p w14:paraId="75B300ED">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（二）行动细则</w:t>
      </w:r>
    </w:p>
    <w:p w14:paraId="65C03E9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1.启动Ⅰ级应急响应后，在2小时内组织宣传部门和新闻媒体、通信公司通过微信、微博、手机短信、网络、电视、广播、公益显示屏和企业污染物排放信息显示屏等方式开展重污染天气信息公开和宣传工作。</w:t>
      </w:r>
    </w:p>
    <w:p w14:paraId="45A2DFE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2.通过报刊、广播、电视、网络等媒体，以信息发布、科普宣传、情况通报、专家访谈等形式，进行新闻宣传、跟踪报道和舆情引导工作。</w:t>
      </w:r>
    </w:p>
    <w:p w14:paraId="400A655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3.信息公开与宣传报道的内容包括环境空气质量监测数据、重污染天气可能持续的时间、潜在的危害及防范建议、应急工作进展情况等。</w:t>
      </w:r>
    </w:p>
    <w:p w14:paraId="545C306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二、较大重污染天气应急行动</w:t>
      </w:r>
    </w:p>
    <w:p w14:paraId="52157A4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（一）组成人员</w:t>
      </w:r>
    </w:p>
    <w:p w14:paraId="06F975E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组长：党政办公室分管负责人。</w:t>
      </w:r>
    </w:p>
    <w:p w14:paraId="5E956D35">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副组长：生态环境分局分管负责人。</w:t>
      </w:r>
    </w:p>
    <w:p w14:paraId="44FB4B9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成员：党政办公室、生态环境分局、联通高区公司、移动高区公司、电信高区分公司等部门、单位相关负责人。</w:t>
      </w:r>
    </w:p>
    <w:p w14:paraId="45388E5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（二）行动细则</w:t>
      </w:r>
    </w:p>
    <w:p w14:paraId="58A0C58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启动Ⅱ级应急响应后，在2小时内组织宣传部门和新闻媒体、通信公司通过微信、微博、手机短信、网络、电视、广播、公益显示屏和企业污染物排放信息显示屏等方式开展重污染天气信息公开和宣传工作。信息公开与宣传报道的内容包括环境空气质量监测数据、重污染天气可能持续的时间、潜在的危害及防范建议、应急工作进展情况等。</w:t>
      </w:r>
    </w:p>
    <w:p w14:paraId="7DCD671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三、一般重污染天气应急行动</w:t>
      </w:r>
    </w:p>
    <w:p w14:paraId="409FD68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根据区应急指挥部命令，参照较大重污染天气应急行动，迅速组织开展工作。</w:t>
      </w:r>
    </w:p>
    <w:p w14:paraId="3114D28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048E6E5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6E58CE2C">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医疗防护组行动细则</w:t>
      </w:r>
    </w:p>
    <w:p w14:paraId="4F8D575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3D80968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一、重大及以上重污染天气应急行动</w:t>
      </w:r>
    </w:p>
    <w:p w14:paraId="34E430A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（一）组成人员</w:t>
      </w:r>
    </w:p>
    <w:p w14:paraId="5CFD576B">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组长：社会事业局分管负责人。</w:t>
      </w:r>
    </w:p>
    <w:p w14:paraId="4B752C6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副组长：教育体育发展中心分管负责人。</w:t>
      </w:r>
    </w:p>
    <w:p w14:paraId="0C8CC38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成员：社会事业局、教育体育发展中心相关负责人。</w:t>
      </w:r>
    </w:p>
    <w:p w14:paraId="35B78A4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（二）行动细则</w:t>
      </w:r>
    </w:p>
    <w:p w14:paraId="2BB7ECC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1.社会事业局负责组织指导各级医疗卫生机构做好医疗救治工作。</w:t>
      </w:r>
    </w:p>
    <w:p w14:paraId="17EE0AB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2.教育体育发展中心负责指导和监督中小学及幼儿园实施健康防护工作，包括停止户外活动和体育课，执行弹性上下学，临时停课等。</w:t>
      </w:r>
    </w:p>
    <w:p w14:paraId="6562425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二、较大重污染天气应急行动</w:t>
      </w:r>
    </w:p>
    <w:p w14:paraId="7B2F6E5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（一）组成人员</w:t>
      </w:r>
    </w:p>
    <w:p w14:paraId="0B90E82E">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组长：社会事业局分管负责人。</w:t>
      </w:r>
    </w:p>
    <w:p w14:paraId="5AAF2A2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副组长：教育体育发展中心分管负责人。</w:t>
      </w:r>
    </w:p>
    <w:p w14:paraId="48B2044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成员：社会事业局、教育体育发展中心相关负责人。</w:t>
      </w:r>
    </w:p>
    <w:p w14:paraId="4524F63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（二）行动细则</w:t>
      </w:r>
    </w:p>
    <w:p w14:paraId="3DC1E28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1.社会事业局负责组织指导各级医疗卫生机构做好医疗救治工作。</w:t>
      </w:r>
    </w:p>
    <w:p w14:paraId="5652EB28">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2.教育体育发展中心负责组织中小学、幼儿园停止室外课程及活动。</w:t>
      </w:r>
    </w:p>
    <w:p w14:paraId="05E1E674">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三、一般重污染天气应急行动</w:t>
      </w:r>
    </w:p>
    <w:p w14:paraId="58AF937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（一）组成人员</w:t>
      </w:r>
    </w:p>
    <w:p w14:paraId="4E9F997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组长：社会事业局分管负责人。</w:t>
      </w:r>
    </w:p>
    <w:p w14:paraId="133DFCB9">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副组长：教育体育发展中心分管负责人。</w:t>
      </w:r>
    </w:p>
    <w:p w14:paraId="37AEADF6">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成员：社会事业局、教育体育发展中心相关负责人。</w:t>
      </w:r>
    </w:p>
    <w:p w14:paraId="68362E43">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楷体_GB2312" w:hAnsi="楷体_GB2312" w:eastAsia="楷体_GB2312" w:cs="楷体_GB2312"/>
          <w:kern w:val="0"/>
          <w:sz w:val="32"/>
          <w:szCs w:val="32"/>
          <w:lang w:val="en-US" w:eastAsia="zh-CN"/>
        </w:rPr>
      </w:pPr>
      <w:r>
        <w:rPr>
          <w:rFonts w:hint="eastAsia" w:ascii="楷体_GB2312" w:hAnsi="楷体_GB2312" w:eastAsia="楷体_GB2312" w:cs="楷体_GB2312"/>
          <w:kern w:val="0"/>
          <w:sz w:val="32"/>
          <w:szCs w:val="32"/>
          <w:lang w:val="en-US" w:eastAsia="zh-CN"/>
        </w:rPr>
        <w:t>（二）行动细则</w:t>
      </w:r>
    </w:p>
    <w:p w14:paraId="222F8B3C">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1.社会事业局负责组织指导各级医疗卫生机构做好医疗救治工作。</w:t>
      </w:r>
    </w:p>
    <w:p w14:paraId="481FA077">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r>
        <w:rPr>
          <w:rFonts w:hint="eastAsia" w:ascii="宋体" w:hAnsi="宋体" w:eastAsia="仿宋_GB2312" w:cs="仿宋_GB2312"/>
          <w:kern w:val="0"/>
          <w:sz w:val="32"/>
          <w:szCs w:val="32"/>
          <w:lang w:val="en-US" w:eastAsia="zh-CN"/>
        </w:rPr>
        <w:t>2.教育体育发展中心负责组织中小学、幼儿园学生尽量留在室内，避免户外活动。</w:t>
      </w:r>
    </w:p>
    <w:p w14:paraId="0CA35BA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1E28E90A">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7B4351C0">
      <w:pPr>
        <w:keepNext w:val="0"/>
        <w:keepLines w:val="0"/>
        <w:pageBreakBefore w:val="0"/>
        <w:widowControl w:val="0"/>
        <w:kinsoku/>
        <w:wordWrap/>
        <w:overflowPunct/>
        <w:topLinePunct w:val="0"/>
        <w:autoSpaceDE/>
        <w:autoSpaceDN/>
        <w:bidi w:val="0"/>
        <w:adjustRightInd w:val="0"/>
        <w:snapToGrid w:val="0"/>
        <w:spacing w:line="578" w:lineRule="exact"/>
        <w:ind w:firstLine="640"/>
        <w:textAlignment w:val="auto"/>
        <w:outlineLvl w:val="9"/>
        <w:rPr>
          <w:rFonts w:hint="eastAsia" w:ascii="宋体" w:hAnsi="宋体" w:eastAsia="仿宋_GB2312" w:cs="仿宋_GB2312"/>
          <w:kern w:val="0"/>
          <w:sz w:val="32"/>
          <w:szCs w:val="32"/>
          <w:lang w:val="en-US" w:eastAsia="zh-CN"/>
        </w:rPr>
      </w:pPr>
    </w:p>
    <w:p w14:paraId="5BAF2001">
      <w:pPr>
        <w:keepNext w:val="0"/>
        <w:keepLines w:val="0"/>
        <w:pageBreakBefore w:val="0"/>
        <w:widowControl w:val="0"/>
        <w:kinsoku/>
        <w:wordWrap/>
        <w:overflowPunct/>
        <w:topLinePunct w:val="0"/>
        <w:autoSpaceDE/>
        <w:autoSpaceDN/>
        <w:bidi w:val="0"/>
        <w:spacing w:line="578" w:lineRule="exact"/>
        <w:ind w:firstLine="5120" w:firstLineChars="1600"/>
        <w:textAlignment w:val="auto"/>
        <w:rPr>
          <w:rFonts w:ascii="宋体" w:hAnsi="宋体" w:eastAsia="仿宋_GB2312" w:cs="仿宋_GB2312"/>
          <w:sz w:val="32"/>
          <w:szCs w:val="32"/>
        </w:rPr>
      </w:pPr>
    </w:p>
    <w:p w14:paraId="34538879">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宋体" w:hAnsi="宋体" w:eastAsia="仿宋_GB2312"/>
          <w:sz w:val="32"/>
          <w:szCs w:val="32"/>
        </w:rPr>
      </w:pPr>
    </w:p>
    <w:p w14:paraId="5037BE25">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宋体" w:hAnsi="宋体" w:eastAsia="仿宋_GB2312"/>
          <w:sz w:val="32"/>
          <w:szCs w:val="32"/>
        </w:rPr>
      </w:pPr>
    </w:p>
    <w:p w14:paraId="26ED388B">
      <w:pPr>
        <w:pageBreakBefore w:val="0"/>
        <w:widowControl w:val="0"/>
        <w:kinsoku/>
        <w:wordWrap/>
        <w:overflowPunct/>
        <w:topLinePunct w:val="0"/>
        <w:autoSpaceDE/>
        <w:autoSpaceDN/>
        <w:bidi w:val="0"/>
        <w:spacing w:line="578" w:lineRule="exact"/>
        <w:textAlignment w:val="auto"/>
        <w:rPr>
          <w:rFonts w:ascii="宋体" w:hAnsi="宋体" w:eastAsia="黑体"/>
          <w:sz w:val="32"/>
        </w:rPr>
      </w:pPr>
      <w:r>
        <w:rPr>
          <w:rFonts w:ascii="宋体" w:hAnsi="宋体" w:eastAsia="黑体"/>
          <w:sz w:val="32"/>
        </w:rPr>
        <w:br w:type="page"/>
      </w:r>
    </w:p>
    <w:p w14:paraId="7A62DF00">
      <w:pPr>
        <w:pStyle w:val="2"/>
        <w:pageBreakBefore w:val="0"/>
        <w:widowControl w:val="0"/>
        <w:kinsoku/>
        <w:wordWrap/>
        <w:overflowPunct/>
        <w:topLinePunct w:val="0"/>
        <w:autoSpaceDE/>
        <w:autoSpaceDN/>
        <w:bidi w:val="0"/>
        <w:adjustRightInd/>
        <w:snapToGrid/>
        <w:spacing w:before="0" w:after="0" w:line="578" w:lineRule="exact"/>
        <w:textAlignment w:val="auto"/>
      </w:pPr>
    </w:p>
    <w:p w14:paraId="7CC17CE3">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宋体" w:hAnsi="宋体" w:eastAsia="黑体"/>
          <w:sz w:val="32"/>
        </w:rPr>
      </w:pPr>
    </w:p>
    <w:p w14:paraId="66009008">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660028DA">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227E17BE">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37B0D481">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12C9F774">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03E22F89">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3873F11B">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72B293CA">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0668B112">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07880556">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44905916">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553A9BCC">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4C2434B5">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69CE916E">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5237152D">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24412FB0">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673232B4">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3E857735">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黑体"/>
          <w:sz w:val="32"/>
          <w:lang w:val="en-US" w:eastAsia="zh-CN"/>
        </w:rPr>
      </w:pPr>
    </w:p>
    <w:p w14:paraId="4A90ECFD">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宋体" w:hAnsi="宋体" w:eastAsia="黑体"/>
          <w:sz w:val="32"/>
        </w:rPr>
      </w:pPr>
    </w:p>
    <w:p w14:paraId="1A350E62">
      <w:pPr>
        <w:keepNext w:val="0"/>
        <w:keepLines w:val="0"/>
        <w:pageBreakBefore w:val="0"/>
        <w:widowControl w:val="0"/>
        <w:kinsoku/>
        <w:wordWrap/>
        <w:overflowPunct/>
        <w:topLinePunct w:val="0"/>
        <w:autoSpaceDE/>
        <w:autoSpaceDN/>
        <w:bidi w:val="0"/>
        <w:adjustRightInd/>
        <w:snapToGrid/>
        <w:spacing w:line="578" w:lineRule="exact"/>
        <w:textAlignment w:val="auto"/>
        <w:rPr>
          <w:rFonts w:ascii="Times New Roman" w:hAnsi="Times New Roman"/>
          <w:sz w:val="28"/>
          <w:szCs w:val="28"/>
        </w:rPr>
      </w:pPr>
      <w:r>
        <w:rPr>
          <w:rFonts w:ascii="宋体" w:hAnsi="宋体" w:eastAsia="仿宋_GB2312"/>
          <w:spacing w:val="-30"/>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0.05pt;height:0pt;width:442.5pt;z-index:251660288;mso-width-relative:page;mso-height-relative:page;" filled="f" stroked="t" coordsize="21600,21600" o:allowincell="f" o:gfxdata="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oCrZzSAAAABAEAAA8A&#10;AAAAAAAAAQAgAAAAIgAAAGRycy9kb3ducmV2LnhtbFBLAQIUABQAAAAIAIdO4kA/iPRS5AEAAKsD&#10;AAAOAAAAAAAAAAEAIAAAACEBAABkcnMvZTJvRG9jLnhtbFBLBQYAAAAABgAGAFkBAAB3BQAAAAA=&#10;">
                <v:fill on="f" focussize="0,0"/>
                <v:stroke weight="1pt" color="#000000" joinstyle="round"/>
                <v:imagedata o:title=""/>
                <o:lock v:ext="edit" aspectratio="f"/>
              </v:line>
            </w:pict>
          </mc:Fallback>
        </mc:AlternateContent>
      </w:r>
      <w:r>
        <w:rPr>
          <w:rFonts w:ascii="宋体" w:hAnsi="宋体" w:eastAsia="仿宋_GB2312"/>
          <w:sz w:val="28"/>
          <w:szCs w:val="28"/>
        </w:rPr>
        <mc:AlternateContent>
          <mc:Choice Requires="wps">
            <w:drawing>
              <wp:anchor distT="0" distB="0" distL="114300" distR="114300" simplePos="0" relativeHeight="251659264"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1pt;margin-top:-0.05pt;height:0pt;width:442.5pt;z-index:251659264;mso-width-relative:page;mso-height-relative:page;" filled="f" stroked="t" coordsize="21600,21600" o:allowincell="f" o:gfxdata="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9vIyZ0AAAAAQBAAAPAAAA&#10;AAAAAAEAIAAAACIAAABkcnMvZG93bnJldi54bWxQSwECFAAUAAAACACHTuJAhCvdjeQBAACqAwAA&#10;DgAAAAAAAAABACAAAAAfAQAAZHJzL2Uyb0RvYy54bWxQSwUGAAAAAAYABgBZAQAAdQUAAAAA&#10;">
                <v:fill on="f" focussize="0,0"/>
                <v:stroke color="#000000" joinstyle="round"/>
                <v:imagedata o:title=""/>
                <o:lock v:ext="edit" aspectratio="f"/>
              </v:line>
            </w:pict>
          </mc:Fallback>
        </mc:AlternateContent>
      </w:r>
      <w:r>
        <w:rPr>
          <w:rFonts w:ascii="宋体" w:hAnsi="宋体"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1312;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宋体" w:hAnsi="宋体" w:eastAsia="仿宋_GB2312"/>
          <w:sz w:val="28"/>
          <w:szCs w:val="28"/>
        </w:rPr>
        <w:t xml:space="preserve">  </w:t>
      </w:r>
      <w:r>
        <w:rPr>
          <w:rFonts w:hint="eastAsia" w:ascii="宋体" w:hAnsi="宋体" w:eastAsia="仿宋_GB2312"/>
          <w:spacing w:val="0"/>
          <w:sz w:val="28"/>
          <w:szCs w:val="28"/>
        </w:rPr>
        <w:t>威海火炬高技术产业开发区</w:t>
      </w:r>
      <w:r>
        <w:rPr>
          <w:rFonts w:hint="eastAsia" w:ascii="宋体" w:hAnsi="宋体" w:eastAsia="仿宋_GB2312"/>
          <w:spacing w:val="0"/>
          <w:sz w:val="28"/>
          <w:szCs w:val="28"/>
          <w:lang w:eastAsia="zh-CN"/>
        </w:rPr>
        <w:t>党政</w:t>
      </w:r>
      <w:r>
        <w:rPr>
          <w:rFonts w:hint="eastAsia" w:ascii="宋体" w:hAnsi="宋体" w:eastAsia="仿宋_GB2312"/>
          <w:spacing w:val="0"/>
          <w:sz w:val="28"/>
          <w:szCs w:val="28"/>
        </w:rPr>
        <w:t xml:space="preserve">办公室 </w:t>
      </w:r>
      <w:r>
        <w:rPr>
          <w:rFonts w:hint="eastAsia" w:ascii="宋体" w:hAnsi="宋体" w:eastAsia="仿宋_GB2312"/>
          <w:spacing w:val="-30"/>
          <w:sz w:val="28"/>
          <w:szCs w:val="28"/>
        </w:rPr>
        <w:t xml:space="preserve">  </w:t>
      </w:r>
      <w:r>
        <w:rPr>
          <w:rFonts w:hint="eastAsia" w:ascii="宋体" w:hAnsi="宋体" w:eastAsia="仿宋_GB2312"/>
          <w:spacing w:val="-30"/>
          <w:sz w:val="28"/>
          <w:szCs w:val="28"/>
          <w:lang w:val="en-US" w:eastAsia="zh-CN"/>
        </w:rPr>
        <w:t xml:space="preserve">   </w:t>
      </w:r>
      <w:r>
        <w:rPr>
          <w:rFonts w:hint="eastAsia" w:ascii="宋体" w:hAnsi="宋体" w:eastAsia="仿宋_GB2312"/>
          <w:spacing w:val="-30"/>
          <w:sz w:val="28"/>
          <w:szCs w:val="28"/>
        </w:rPr>
        <w:t xml:space="preserve">  </w:t>
      </w:r>
      <w:r>
        <w:rPr>
          <w:rFonts w:hint="eastAsia" w:ascii="宋体" w:hAnsi="宋体" w:eastAsia="仿宋_GB2312"/>
          <w:spacing w:val="0"/>
          <w:sz w:val="28"/>
          <w:szCs w:val="28"/>
          <w:lang w:eastAsia="zh-CN"/>
        </w:rPr>
        <w:t>20</w:t>
      </w:r>
      <w:r>
        <w:rPr>
          <w:rFonts w:hint="eastAsia" w:ascii="宋体" w:hAnsi="宋体" w:eastAsia="仿宋_GB2312"/>
          <w:spacing w:val="0"/>
          <w:sz w:val="28"/>
          <w:szCs w:val="28"/>
          <w:lang w:val="en-US" w:eastAsia="zh-CN"/>
        </w:rPr>
        <w:t>25</w:t>
      </w:r>
      <w:r>
        <w:rPr>
          <w:rFonts w:hint="eastAsia" w:ascii="宋体" w:hAnsi="宋体" w:eastAsia="仿宋_GB2312"/>
          <w:spacing w:val="0"/>
          <w:sz w:val="28"/>
          <w:szCs w:val="28"/>
        </w:rPr>
        <w:t>年</w:t>
      </w:r>
      <w:r>
        <w:rPr>
          <w:rFonts w:hint="eastAsia" w:ascii="宋体" w:hAnsi="宋体" w:eastAsia="仿宋_GB2312"/>
          <w:spacing w:val="0"/>
          <w:sz w:val="28"/>
          <w:szCs w:val="28"/>
          <w:lang w:val="en-US" w:eastAsia="zh-CN"/>
        </w:rPr>
        <w:t>3</w:t>
      </w:r>
      <w:r>
        <w:rPr>
          <w:rFonts w:hint="eastAsia" w:ascii="宋体" w:hAnsi="宋体" w:eastAsia="仿宋_GB2312"/>
          <w:spacing w:val="0"/>
          <w:sz w:val="28"/>
          <w:szCs w:val="28"/>
        </w:rPr>
        <w:t>月</w:t>
      </w:r>
      <w:r>
        <w:rPr>
          <w:rFonts w:hint="eastAsia" w:ascii="宋体" w:hAnsi="宋体" w:eastAsia="仿宋_GB2312"/>
          <w:spacing w:val="0"/>
          <w:sz w:val="28"/>
          <w:szCs w:val="28"/>
          <w:lang w:val="en-US" w:eastAsia="zh-CN"/>
        </w:rPr>
        <w:t>28</w:t>
      </w:r>
      <w:r>
        <w:rPr>
          <w:rFonts w:hint="eastAsia" w:ascii="Times New Roman" w:hAnsi="Times New Roman" w:eastAsia="仿宋_GB2312"/>
          <w:spacing w:val="0"/>
          <w:sz w:val="28"/>
          <w:szCs w:val="28"/>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63039306">
        <w:pPr>
          <w:pStyle w:val="5"/>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28A950FF">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3F3A9A47">
        <w:pPr>
          <w:pStyle w:val="5"/>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6756EEE8">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7"/>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zNjhjZjkxMjg2OGJjOTQ0NThhNzBhOGI4YTVmYWY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021D4F45"/>
    <w:rsid w:val="09F063A4"/>
    <w:rsid w:val="0B7F5D75"/>
    <w:rsid w:val="0E4113F2"/>
    <w:rsid w:val="10C76FC9"/>
    <w:rsid w:val="119A100B"/>
    <w:rsid w:val="216629B6"/>
    <w:rsid w:val="24C11D11"/>
    <w:rsid w:val="25C7704B"/>
    <w:rsid w:val="25EA7EB0"/>
    <w:rsid w:val="27F107AF"/>
    <w:rsid w:val="2F5D5B86"/>
    <w:rsid w:val="38832EBE"/>
    <w:rsid w:val="3B196174"/>
    <w:rsid w:val="3D7C2FCD"/>
    <w:rsid w:val="3DAB2B40"/>
    <w:rsid w:val="3E8E60B7"/>
    <w:rsid w:val="3FF7114D"/>
    <w:rsid w:val="3FF775B7"/>
    <w:rsid w:val="439E7D49"/>
    <w:rsid w:val="43B70C69"/>
    <w:rsid w:val="4EDFB418"/>
    <w:rsid w:val="5CECE6FD"/>
    <w:rsid w:val="5E9F92AD"/>
    <w:rsid w:val="662F2FE3"/>
    <w:rsid w:val="6B57466E"/>
    <w:rsid w:val="6F2B48B3"/>
    <w:rsid w:val="76E7B254"/>
    <w:rsid w:val="77FFE099"/>
    <w:rsid w:val="7B7B23F9"/>
    <w:rsid w:val="7C9C7D6B"/>
    <w:rsid w:val="7EF7FC1B"/>
    <w:rsid w:val="BBE7EE48"/>
    <w:rsid w:val="DEDF999C"/>
    <w:rsid w:val="EDEE8FB4"/>
    <w:rsid w:val="EE7FB0B3"/>
    <w:rsid w:val="EFFB4055"/>
    <w:rsid w:val="F7FE35A6"/>
    <w:rsid w:val="FBDD24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880" w:firstLineChars="200"/>
    </w:pPr>
  </w:style>
  <w:style w:type="paragraph" w:styleId="4">
    <w:name w:val="Body Text"/>
    <w:basedOn w:val="1"/>
    <w:qFormat/>
    <w:uiPriority w:val="0"/>
    <w:pPr>
      <w:spacing w:after="120" w:afterLines="0"/>
    </w:p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Body Text First Indent"/>
    <w:basedOn w:val="4"/>
    <w:next w:val="1"/>
    <w:qFormat/>
    <w:uiPriority w:val="0"/>
    <w:pPr>
      <w:widowControl/>
      <w:spacing w:line="606" w:lineRule="atLeast"/>
      <w:ind w:firstLine="420" w:firstLineChars="100"/>
      <w:textAlignment w:val="baseline"/>
    </w:pPr>
    <w:rPr>
      <w:rFonts w:ascii="Times New Roman" w:hAnsi="Times New Roman"/>
      <w:color w:val="000000"/>
      <w:kern w:val="0"/>
      <w:sz w:val="31"/>
      <w:szCs w:val="20"/>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脚 Char"/>
    <w:basedOn w:val="10"/>
    <w:link w:val="5"/>
    <w:qFormat/>
    <w:uiPriority w:val="99"/>
    <w:rPr>
      <w:rFonts w:ascii="Times New Roman" w:hAnsi="Times New Roman" w:eastAsia="宋体" w:cs="Times New Roman"/>
      <w:sz w:val="18"/>
      <w:szCs w:val="18"/>
    </w:rPr>
  </w:style>
  <w:style w:type="character" w:customStyle="1" w:styleId="12">
    <w:name w:val="页眉 Char"/>
    <w:basedOn w:val="10"/>
    <w:link w:val="6"/>
    <w:qFormat/>
    <w:uiPriority w:val="99"/>
    <w:rPr>
      <w:rFonts w:ascii="Times New Roman" w:hAnsi="Times New Roman" w:eastAsia="宋体" w:cs="Times New Roman"/>
      <w:sz w:val="18"/>
      <w:szCs w:val="18"/>
    </w:rPr>
  </w:style>
  <w:style w:type="paragraph" w:styleId="13">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12055</Words>
  <Characters>12237</Characters>
  <Lines>1</Lines>
  <Paragraphs>1</Paragraphs>
  <TotalTime>49</TotalTime>
  <ScaleCrop>false</ScaleCrop>
  <LinksUpToDate>false</LinksUpToDate>
  <CharactersWithSpaces>12292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2019-02-23T20:00:00Z</dcterms:created>
  <dc:creator>CN=黄伟/O=wh.torch</dc:creator>
  <cp:lastModifiedBy>╰懂的人。</cp:lastModifiedBy>
  <cp:lastPrinted>2025-02-28T08:17:00Z</cp:lastPrinted>
  <dcterms:modified xsi:type="dcterms:W3CDTF">2025-05-29T02:49:33Z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17428C23F87E48F2A46192F75CAA404E_13</vt:lpwstr>
  </property>
  <property fmtid="{D5CDD505-2E9C-101B-9397-08002B2CF9AE}" pid="4" name="KSOTemplateDocerSaveRecord">
    <vt:lpwstr>eyJoZGlkIjoiYmVlOGVkMzlhNmVjZGRkNzZkNzM0NmVmYWUzYzJkMTMiLCJ1c2VySWQiOiI0NjE4OTkwMjQifQ==</vt:lpwstr>
  </property>
</Properties>
</file>