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FD9C35">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sz w:val="44"/>
          <w:szCs w:val="44"/>
        </w:rPr>
      </w:pPr>
    </w:p>
    <w:p w14:paraId="5C4AE33C">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怡园街道办事处</w:t>
      </w:r>
    </w:p>
    <w:p w14:paraId="0751A9DC">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Times New Roman" w:hAnsi="Times New Roman" w:eastAsia="楷体_GB2312" w:cs="楷体_GB2312"/>
          <w:sz w:val="32"/>
          <w:szCs w:val="32"/>
        </w:rPr>
      </w:pPr>
      <w:r>
        <w:rPr>
          <w:rFonts w:hint="eastAsia" w:ascii="Times New Roman" w:hAnsi="Times New Roman" w:eastAsia="方正小标宋简体" w:cs="方正小标宋简体"/>
          <w:color w:val="auto"/>
          <w:sz w:val="44"/>
          <w:szCs w:val="44"/>
          <w:lang w:val="en-US" w:eastAsia="zh-CN"/>
        </w:rPr>
        <w:t>关于2025年法治政府建设情况的报告</w:t>
      </w:r>
    </w:p>
    <w:p w14:paraId="7184CF49">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Times New Roman" w:hAnsi="Times New Roman" w:eastAsia="仿宋_GB2312"/>
          <w:color w:val="auto"/>
          <w:sz w:val="32"/>
          <w:szCs w:val="32"/>
          <w:lang w:val="en-US" w:eastAsia="zh-CN"/>
        </w:rPr>
      </w:pPr>
    </w:p>
    <w:p w14:paraId="72EEFA63">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宋体"/>
          <w:lang w:eastAsia="zh-CN"/>
        </w:rPr>
      </w:pPr>
      <w:r>
        <w:rPr>
          <w:rFonts w:hint="eastAsia" w:ascii="Times New Roman" w:hAnsi="Times New Roman" w:eastAsia="仿宋_GB2312"/>
          <w:color w:val="auto"/>
          <w:sz w:val="32"/>
          <w:szCs w:val="32"/>
          <w:lang w:val="en-US" w:eastAsia="zh-CN"/>
        </w:rPr>
        <w:t xml:space="preserve">2025年，怡园街道在区党工委、管委领导下，贯彻落实习近平法治思想，围绕全区中心工作和街道“532”发展思路，将法治政府建设贯穿基层治理、民生服务、经济发展全过程。坚持依法决策、行政和管理，深化基层法治实践，构建职责明确、依法行政的治理体系，提升运用法治思维和方式推动各项工作的能力，为街道发展提供法治保障。现将具体情况报告如下： </w:t>
      </w:r>
    </w:p>
    <w:p w14:paraId="0B88788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黑体" w:cs="黑体"/>
          <w:color w:val="auto"/>
          <w:sz w:val="32"/>
          <w:szCs w:val="32"/>
          <w:lang w:val="en-US" w:eastAsia="zh-CN"/>
        </w:rPr>
      </w:pPr>
      <w:r>
        <w:rPr>
          <w:rFonts w:hint="eastAsia" w:ascii="Times New Roman" w:hAnsi="Times New Roman" w:eastAsia="黑体" w:cs="黑体"/>
          <w:color w:val="auto"/>
          <w:sz w:val="32"/>
          <w:szCs w:val="32"/>
          <w:lang w:val="en-US" w:eastAsia="zh-CN"/>
        </w:rPr>
        <w:t>一、2025年推进法治政府建设的主要举措和成效</w:t>
      </w:r>
    </w:p>
    <w:p w14:paraId="14C0897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（一）健全依法行政制度体系，筑牢法治运行根基</w:t>
      </w:r>
    </w:p>
    <w:p w14:paraId="3305D281">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1.规范决策程序，强化合法性审查。</w:t>
      </w:r>
      <w:r>
        <w:rPr>
          <w:rFonts w:hint="eastAsia" w:ascii="Times New Roman" w:hAnsi="Times New Roman" w:eastAsia="仿宋_GB2312"/>
          <w:color w:val="auto"/>
          <w:sz w:val="32"/>
          <w:szCs w:val="32"/>
          <w:lang w:val="en-US" w:eastAsia="zh-CN"/>
        </w:rPr>
        <w:t> 严格落实重大行政决策程序规定，确保所有重大决策于法有据、程序正当。平安法治办公室切实履行合法性审查“防火墙”职责，全年累计审查街道规范性文件、重大行政决策、经济合同协议等共计73份，提出具有针对性的法律意见建议140余条，有效从源头防范了法律风险。针对农村集体“三资”管理这一关键领域，统一支委会、理事会、股东代表大会等会议记录模板，完善民主决策程序，保障了股民合法权益。</w:t>
      </w:r>
    </w:p>
    <w:p w14:paraId="641ED5D9">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2.深化执法规范化建设，提升执法效能。</w:t>
      </w:r>
      <w:r>
        <w:rPr>
          <w:rFonts w:hint="eastAsia" w:ascii="Times New Roman" w:hAnsi="Times New Roman" w:eastAsia="仿宋_GB2312"/>
          <w:color w:val="auto"/>
          <w:sz w:val="32"/>
          <w:szCs w:val="32"/>
          <w:lang w:val="en-US" w:eastAsia="zh-CN"/>
        </w:rPr>
        <w:t>依托数字化平台，建立案件闭环管理机制，累计处置城管平台案件8045件，处置率100%，全年“零返工”，较2024年返工86件有质的飞跃，执法精准度和群众满意度显著提升。制定《安全生产隐患闭环查改工作制度》《“九小场所”安全隐患闭环查改工作方案》，构建标准化监管流程。通过“专家诊断+清单管理”，累计排查企业201家，推动1335条隐患完成整改；针对“九小场所”，依托“网格员+安全专员+消防文员”巡查机制，排查整改隐患11000余个，执法检查的规范性和威慑力不断增强。渔船管控方面，加强监督检查，开展入港检查120余次、检查船舶140艘次，对发现的问题隐患及时整改，从严管理违规船只；森林防火方面，加强隐患治理，严格火源管控，清理重点林区墓区可燃物60余吨，查处违规用火</w:t>
      </w:r>
      <w:r>
        <w:rPr>
          <w:rFonts w:hint="eastAsia" w:ascii="Times New Roman" w:hAnsi="Times New Roman" w:eastAsia="仿宋_GB2312" w:cs="Times New Roman"/>
          <w:color w:val="auto"/>
          <w:sz w:val="32"/>
          <w:szCs w:val="32"/>
          <w:lang w:val="en-US" w:eastAsia="zh-CN"/>
        </w:rPr>
        <w:t>行为，实现了全年零火情，展现了严格的执法</w:t>
      </w:r>
      <w:r>
        <w:rPr>
          <w:rFonts w:hint="eastAsia" w:ascii="Times New Roman" w:hAnsi="Times New Roman" w:eastAsia="仿宋_GB2312"/>
          <w:color w:val="auto"/>
          <w:sz w:val="32"/>
          <w:szCs w:val="32"/>
          <w:lang w:val="en-US" w:eastAsia="zh-CN"/>
        </w:rPr>
        <w:t xml:space="preserve">成效。 </w:t>
      </w:r>
    </w:p>
    <w:p w14:paraId="45EB2982">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3.运用法治手段盘活资产、规范民生领域。</w:t>
      </w:r>
      <w:r>
        <w:rPr>
          <w:rFonts w:hint="eastAsia" w:ascii="Times New Roman" w:hAnsi="Times New Roman" w:eastAsia="仿宋_GB2312"/>
          <w:color w:val="auto"/>
          <w:sz w:val="32"/>
          <w:szCs w:val="32"/>
          <w:lang w:val="en-US" w:eastAsia="zh-CN"/>
        </w:rPr>
        <w:t> 明确要求合作社集体经济合同签订前必须由合作社法律顾问进行合法性审查，督导各合作社</w:t>
      </w:r>
      <w:r>
        <w:rPr>
          <w:rFonts w:hint="eastAsia" w:ascii="Times New Roman" w:hAnsi="Times New Roman" w:eastAsia="仿宋_GB2312" w:cs="仿宋_GB2312"/>
          <w:color w:val="000000"/>
          <w:sz w:val="32"/>
          <w:szCs w:val="32"/>
          <w:highlight w:val="none"/>
          <w:shd w:val="clear" w:color="auto" w:fill="FFFFFF"/>
          <w:lang w:val="en-US" w:eastAsia="zh-CN"/>
        </w:rPr>
        <w:t>清产核资和集中摸排，</w:t>
      </w:r>
      <w:r>
        <w:rPr>
          <w:rFonts w:hint="eastAsia" w:ascii="Times New Roman" w:hAnsi="Times New Roman" w:eastAsia="仿宋_GB2312"/>
          <w:color w:val="auto"/>
          <w:sz w:val="32"/>
          <w:szCs w:val="32"/>
          <w:lang w:val="en-US" w:eastAsia="zh-CN"/>
        </w:rPr>
        <w:t>对213处闲置资产向社会公开招租，全年盘活1.2万平闲置厂房门市房，有效防止了集体资产流失。在殡葬领域专项整治中，推动制定了街道级管理规定，指导11个合作社全部建立村级墓地管理制度，完成历史埋葬点测绘建档，实现了该领域从无序到法治化管理的转变。</w:t>
      </w:r>
    </w:p>
    <w:p w14:paraId="0A15F63A">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（二）提升基层依法治理能力，维护社会和谐稳定</w:t>
      </w:r>
    </w:p>
    <w:p w14:paraId="4A24AE49">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cs="仿宋_GB2312"/>
          <w:b/>
          <w:bCs/>
          <w:color w:val="auto"/>
          <w:sz w:val="32"/>
          <w:szCs w:val="32"/>
          <w:lang w:val="en-US" w:eastAsia="zh-CN"/>
        </w:rPr>
        <w:t>1.构建多元矛盾纠纷化解体系。</w:t>
      </w:r>
      <w:r>
        <w:rPr>
          <w:rFonts w:hint="eastAsia" w:ascii="Times New Roman" w:hAnsi="Times New Roman" w:eastAsia="仿宋_GB2312"/>
          <w:color w:val="auto"/>
          <w:sz w:val="32"/>
          <w:szCs w:val="32"/>
          <w:lang w:val="en-US" w:eastAsia="zh-CN"/>
        </w:rPr>
        <w:t> 坚持和发展新时代“枫桥经验”，发动各社区挖掘法律专业人才和调解能手，成功组建40支、吸纳190余人的社区自治调解队伍。全年通过矛调线上平台受理纠纷1950起，成功调解1918起，调解成功率达98.4%，切实将矛盾化解在基层。面对复杂的劳动关系纠纷，坚持依法调解，高效处置12345热线及欠薪平台案件1327件，涉及金额重大，严格遵循热线处理的政策规定和工作流程，最大限度地弄清事实维护被欠薪方的利益，确保了辖区劳动关系总体和谐。综合执法中心通过指导成立业委会、规范物业选续聘流程、约谈物业企业30余家、下发整改通知10余份等法治化手段，推动物业领域热线投诉同比下降15%以上。</w:t>
      </w:r>
    </w:p>
    <w:p w14:paraId="3A946D4F">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2.强化重点人群服务管理与风险防控。</w:t>
      </w:r>
      <w:r>
        <w:rPr>
          <w:rFonts w:hint="eastAsia" w:ascii="Times New Roman" w:hAnsi="Times New Roman" w:eastAsia="仿宋_GB2312"/>
          <w:color w:val="auto"/>
          <w:sz w:val="32"/>
          <w:szCs w:val="32"/>
          <w:lang w:val="en-US" w:eastAsia="zh-CN"/>
        </w:rPr>
        <w:t> 社区矫正工作严格落实《社区矫正法》，对在册97名矫正对象实施分类管理和精准矫治，开展警示教育12次，组织公益劳动500余人次，信息化核查常态化，无脱管漏管发生。对130名刑满释放人员落实“一人一档”安置帮教，衔接率100%。对严重精神障碍患者管理严格执行“以奖代补”政策，签订监护协议42份，成立关爱小组，联合走访150余人次，未发生肇事肇祸案事件。充分发挥网格化管理体系的前沿作用，237名网格员年内上报并协调解决事件1861件，解决率99%，协助公安机关破案34起，提供线索捣毁传销和非法宗教窝点15个，成为基层法治的“移动探头”。</w:t>
      </w:r>
    </w:p>
    <w:p w14:paraId="4741E13D">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3.优化法治化营商环境。</w:t>
      </w:r>
      <w:r>
        <w:rPr>
          <w:rFonts w:hint="eastAsia" w:ascii="Times New Roman" w:hAnsi="Times New Roman" w:eastAsia="仿宋_GB2312"/>
          <w:color w:val="auto"/>
          <w:sz w:val="32"/>
          <w:szCs w:val="32"/>
          <w:lang w:val="en-US" w:eastAsia="zh-CN"/>
        </w:rPr>
        <w:t>制定《“驻厂员”服务规下重点企业闭环管理制度》，59名驻厂员依法依规对接服务115家企业，发放惠企政策“急救包”460余项，走访中小微企业5724家，将法律服务与政策送上门。在市场监管领域，依法开展防范打击传销宣传活动60余次，摸排上报涉传线索7条；做好预付式消费宣传工作，排查辖区预付式商户362家，发放风险提示和规范倡议，营造诚信守法经营环境。联合威海市文明诚信企业联合会，建立火炬八街“文明诚信商户联盟”，与200余家商户签订诚信承诺书，实施信用激励，以法治涵养商业文明。</w:t>
      </w:r>
    </w:p>
    <w:p w14:paraId="4B41298E">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eastAsia" w:ascii="Times New Roman" w:hAnsi="Times New Roman" w:eastAsia="楷体_GB2312" w:cs="楷体_GB2312"/>
          <w:color w:val="auto"/>
          <w:sz w:val="32"/>
          <w:szCs w:val="32"/>
          <w:lang w:val="en-US" w:eastAsia="zh-CN"/>
        </w:rPr>
        <w:t>（三）深化普法宣传教育，营造浓厚法治氛围</w:t>
      </w:r>
    </w:p>
    <w:p w14:paraId="29848514">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1.落实普法责任制，开展精准普法。 </w:t>
      </w:r>
      <w:r>
        <w:rPr>
          <w:rFonts w:hint="eastAsia" w:ascii="Times New Roman" w:hAnsi="Times New Roman" w:eastAsia="仿宋_GB2312"/>
          <w:color w:val="auto"/>
          <w:sz w:val="32"/>
          <w:szCs w:val="32"/>
          <w:lang w:val="en-US" w:eastAsia="zh-CN"/>
        </w:rPr>
        <w:t>严格履行“谁执法谁普法”责任制，制定年度普法计划与责任清单。围绕《民法典》《安全生产法》《退役军人保障法》《信访工作条例》等，结合民法典宣传月等节点，开展主题普法讲座150余场，覆盖9000余人次。针对老年人群体，开展防范电信诈骗专项宣传，网格员入户发放资料，月均覆盖3.5万人次，有效降低电诈发案。针对企业，应急安全中心组织安全生产例会10余次，开展“安全生产月”系列活动，发放宣传单页上万份。</w:t>
      </w:r>
    </w:p>
    <w:p w14:paraId="3219ED3C">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2.创新普法形式，提升宣传实效。</w:t>
      </w:r>
      <w:r>
        <w:rPr>
          <w:rFonts w:hint="eastAsia" w:ascii="Times New Roman" w:hAnsi="Times New Roman" w:eastAsia="仿宋_GB2312"/>
          <w:color w:val="auto"/>
          <w:sz w:val="32"/>
          <w:szCs w:val="32"/>
          <w:lang w:val="en-US" w:eastAsia="zh-CN"/>
        </w:rPr>
        <w:t> 积极拓展“互联网+法治宣传”，利用“掌上怡园”等公众号发布普法文章。公共文化中心组织创作移风易俗小品《十万诚意》《</w:t>
      </w:r>
      <w:r>
        <w:rPr>
          <w:rFonts w:hint="eastAsia" w:ascii="Times New Roman" w:hAnsi="Times New Roman" w:eastAsia="仿宋_GB2312" w:cs="仿宋_GB2312"/>
          <w:b w:val="0"/>
          <w:bCs w:val="0"/>
          <w:sz w:val="32"/>
          <w:szCs w:val="32"/>
          <w:lang w:val="en-US" w:eastAsia="zh-CN"/>
        </w:rPr>
        <w:t>移风易俗三句半</w:t>
      </w:r>
      <w:r>
        <w:rPr>
          <w:rFonts w:hint="eastAsia" w:ascii="Times New Roman" w:hAnsi="Times New Roman" w:eastAsia="仿宋_GB2312"/>
          <w:color w:val="auto"/>
          <w:sz w:val="32"/>
          <w:szCs w:val="32"/>
          <w:lang w:val="en-US" w:eastAsia="zh-CN"/>
        </w:rPr>
        <w:t>》微视频，用群众喜闻乐见的文艺形式普法。在“邻里节”2800余场活动中融入普法宣传、法律咨询等环节，让普法更接地气。应急安全中心通过实战演练、情景培训等方式，让安全法规知识入脑入心。</w:t>
      </w:r>
    </w:p>
    <w:p w14:paraId="1D4BF876">
      <w:pPr>
        <w:keepNext w:val="0"/>
        <w:keepLines w:val="0"/>
        <w:pageBreakBefore w:val="0"/>
        <w:widowControl w:val="0"/>
        <w:kinsoku/>
        <w:wordWrap/>
        <w:overflowPunct/>
        <w:topLinePunct w:val="0"/>
        <w:autoSpaceDE/>
        <w:autoSpaceDN/>
        <w:bidi w:val="0"/>
        <w:adjustRightInd/>
        <w:snapToGrid/>
        <w:spacing w:line="540" w:lineRule="exact"/>
        <w:ind w:firstLine="643"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b/>
          <w:bCs/>
          <w:color w:val="auto"/>
          <w:sz w:val="32"/>
          <w:szCs w:val="32"/>
          <w:lang w:val="en-US" w:eastAsia="zh-CN"/>
        </w:rPr>
        <w:t>3.夯实公共法律服务基础。</w:t>
      </w:r>
      <w:r>
        <w:rPr>
          <w:rFonts w:hint="eastAsia" w:ascii="Times New Roman" w:hAnsi="Times New Roman" w:eastAsia="仿宋_GB2312"/>
          <w:color w:val="auto"/>
          <w:sz w:val="32"/>
          <w:szCs w:val="32"/>
          <w:lang w:val="en-US" w:eastAsia="zh-CN"/>
        </w:rPr>
        <w:t> 实现社区法律顾问全覆盖，顾问全年累计提供法律服务超2000小时，解答咨询900余人次，审查社区合同30余份，举办普法讲座140余场；在便民服务大厅设立法律咨询窗口，提供法律咨询、法律援助初审等服务。全力推进司法所规范化建设，根据省、市要求制定《怡园司法所分类建设工作实施方案》，在组织队伍、制度机制、业务能力等方面持续加强，基层法治战斗堡垒更加坚固。</w:t>
      </w:r>
    </w:p>
    <w:p w14:paraId="7D20DAB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黑体" w:cs="黑体"/>
          <w:color w:val="auto"/>
          <w:sz w:val="32"/>
          <w:szCs w:val="32"/>
          <w:lang w:val="en-US" w:eastAsia="zh-CN"/>
        </w:rPr>
      </w:pPr>
      <w:r>
        <w:rPr>
          <w:rFonts w:hint="eastAsia" w:ascii="Times New Roman" w:hAnsi="Times New Roman" w:eastAsia="黑体" w:cs="黑体"/>
          <w:color w:val="auto"/>
          <w:sz w:val="32"/>
          <w:szCs w:val="32"/>
          <w:lang w:val="en-US" w:eastAsia="zh-CN"/>
        </w:rPr>
        <w:t>二、2025年推进法治政府建设存在的不足和原因</w:t>
      </w:r>
    </w:p>
    <w:p w14:paraId="01A4959B">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楷体_GB2312" w:cs="楷体_GB2312"/>
          <w:color w:val="auto"/>
          <w:sz w:val="32"/>
          <w:szCs w:val="32"/>
          <w:lang w:val="en-US" w:eastAsia="zh-CN"/>
        </w:rPr>
        <w:t>（一）</w:t>
      </w:r>
      <w:r>
        <w:rPr>
          <w:rFonts w:hint="eastAsia" w:ascii="Times New Roman" w:hAnsi="Times New Roman" w:eastAsia="楷体_GB2312" w:cs="楷体_GB2312"/>
          <w:sz w:val="32"/>
          <w:szCs w:val="32"/>
          <w:lang w:val="en-US" w:eastAsia="zh-CN"/>
        </w:rPr>
        <w:t>合同合法性审查和管理不足。</w:t>
      </w:r>
      <w:r>
        <w:rPr>
          <w:rFonts w:hint="eastAsia" w:ascii="Times New Roman" w:hAnsi="Times New Roman" w:eastAsia="仿宋_GB2312" w:cs="仿宋_GB2312"/>
          <w:sz w:val="32"/>
          <w:szCs w:val="32"/>
          <w:lang w:val="en-US" w:eastAsia="zh-CN"/>
        </w:rPr>
        <w:t>审查流程不够规范，未制定明确的管理办法。合同台账管理粗放，信息记录不够全面，台账更新不及时，与实际合同履行情况存在偏差。原因是合同审查管理制度不完善，责任主体不明，法治思维未有效贯穿合同管理全流程，导致操作随意、信息脱节。</w:t>
      </w:r>
    </w:p>
    <w:p w14:paraId="7EAEB117">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（二）基层依法治理深度和韧性有待增强。</w:t>
      </w:r>
      <w:r>
        <w:rPr>
          <w:rFonts w:hint="eastAsia" w:ascii="Times New Roman" w:hAnsi="Times New Roman" w:eastAsia="仿宋_GB2312"/>
          <w:color w:val="auto"/>
          <w:sz w:val="32"/>
          <w:szCs w:val="32"/>
          <w:lang w:val="en-US" w:eastAsia="zh-CN"/>
        </w:rPr>
        <w:t>多元化解机制已建立，但化解个别历史遗留等问题手段和资源不足，源头预防和实质性化解机制需创新。物业管理领域矛盾纠纷高发，部分社区社会组织“依法自治”能力弱、专业骨干少。原因是法治资源下沉与居民法治素养、自治能力提升未能紧密结合。</w:t>
      </w:r>
    </w:p>
    <w:p w14:paraId="0549E030">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Times New Roman" w:hAnsi="Times New Roman"/>
          <w:lang w:eastAsia="zh-CN"/>
        </w:rPr>
      </w:pPr>
      <w:r>
        <w:rPr>
          <w:rFonts w:hint="eastAsia" w:ascii="Times New Roman" w:hAnsi="Times New Roman" w:eastAsia="楷体_GB2312" w:cs="楷体_GB2312"/>
          <w:color w:val="auto"/>
          <w:sz w:val="32"/>
          <w:szCs w:val="32"/>
          <w:lang w:val="en-US" w:eastAsia="zh-CN"/>
        </w:rPr>
        <w:t>（三）普法宣传针对性和渗透力待加强。</w:t>
      </w:r>
      <w:r>
        <w:rPr>
          <w:rFonts w:hint="eastAsia" w:ascii="Times New Roman" w:hAnsi="Times New Roman" w:eastAsia="仿宋_GB2312"/>
          <w:color w:val="auto"/>
          <w:sz w:val="32"/>
          <w:szCs w:val="32"/>
          <w:lang w:val="en-US" w:eastAsia="zh-CN"/>
        </w:rPr>
        <w:t xml:space="preserve">普法形式偏重传统，对新媒体运用不足，难吸引年轻群体；针对特定对象普法措施不系统，宣传内容与群众法律需求贴合度低。原因是对不同群体法治需求调研和把握不足，普法产品供给侧改革需深化。 </w:t>
      </w:r>
    </w:p>
    <w:p w14:paraId="4126E66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黑体" w:cs="黑体"/>
          <w:color w:val="auto"/>
          <w:sz w:val="32"/>
          <w:szCs w:val="32"/>
          <w:lang w:val="en-US" w:eastAsia="zh-CN"/>
        </w:rPr>
      </w:pPr>
      <w:r>
        <w:rPr>
          <w:rFonts w:hint="eastAsia" w:ascii="Times New Roman" w:hAnsi="Times New Roman" w:eastAsia="黑体" w:cs="黑体"/>
          <w:color w:val="auto"/>
          <w:sz w:val="32"/>
          <w:szCs w:val="32"/>
          <w:lang w:val="en-US" w:eastAsia="zh-CN"/>
        </w:rPr>
        <w:t>三、2025年党政主要负责人履行推进法治建设第一责任人职责，加强法治政府建设的情况</w:t>
      </w:r>
    </w:p>
    <w:p w14:paraId="2A0C17F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（一）强化组织领导，压实法治责任。</w:t>
      </w:r>
      <w:r>
        <w:rPr>
          <w:rFonts w:hint="eastAsia" w:ascii="Times New Roman" w:hAnsi="Times New Roman" w:eastAsia="仿宋_GB2312"/>
          <w:color w:val="auto"/>
          <w:sz w:val="32"/>
          <w:szCs w:val="32"/>
          <w:lang w:val="en-US" w:eastAsia="zh-CN"/>
        </w:rPr>
        <w:t>街道党政主要负责人坚决履行推进法治建设第一责任人职责，坚持将法治政府建设摆在全局工作突出位置，纳入街道“532”总体思路。定期主持召开党工委会、专题会议，研究部署重点任务，如调度矛盾纠纷化解、督办巡察审计整改中涉及的法治问题，确保法治建设与经济社会发展同频共振。</w:t>
      </w:r>
    </w:p>
    <w:p w14:paraId="553FEE3A">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（二）带头尊法学法，提升法治素养。</w:t>
      </w:r>
      <w:r>
        <w:rPr>
          <w:rFonts w:hint="eastAsia" w:ascii="Times New Roman" w:hAnsi="Times New Roman" w:eastAsia="仿宋_GB2312"/>
          <w:color w:val="auto"/>
          <w:sz w:val="32"/>
          <w:szCs w:val="32"/>
          <w:lang w:val="en-US" w:eastAsia="zh-CN"/>
        </w:rPr>
        <w:t>主要负责人以身作则，主持党工委理论学习中心组专题学习习近平法治思想、党内法规。将法治课程列为干部教育培训必修内容，要求班子成员在分管领域必须严守法律底线，依法推动工作。</w:t>
      </w:r>
    </w:p>
    <w:p w14:paraId="3245F32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（三）聚焦关键环节，推动任务落实。</w:t>
      </w:r>
      <w:r>
        <w:rPr>
          <w:rFonts w:hint="eastAsia" w:ascii="Times New Roman" w:hAnsi="Times New Roman" w:eastAsia="仿宋_GB2312"/>
          <w:color w:val="auto"/>
          <w:sz w:val="32"/>
          <w:szCs w:val="32"/>
          <w:lang w:val="en-US" w:eastAsia="zh-CN"/>
        </w:rPr>
        <w:t>严把决策法律关，明确要求重大决策、合同必经合法性审查程序，对“三资”管理、民生项目等亲自过问法律风险。深耕基层依法治理，大力支持“怡起商量”品牌和调解队伍建设，对复杂信访积案包案协调，推动法治方式融入基层治理“神经末梢”。</w:t>
      </w:r>
    </w:p>
    <w:p w14:paraId="6B8C6AC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黑体" w:cs="黑体"/>
          <w:color w:val="auto"/>
          <w:sz w:val="32"/>
          <w:szCs w:val="32"/>
          <w:lang w:val="en-US" w:eastAsia="zh-CN"/>
        </w:rPr>
      </w:pPr>
      <w:r>
        <w:rPr>
          <w:rFonts w:hint="eastAsia" w:ascii="Times New Roman" w:hAnsi="Times New Roman" w:eastAsia="黑体" w:cs="黑体"/>
          <w:color w:val="auto"/>
          <w:sz w:val="32"/>
          <w:szCs w:val="32"/>
          <w:lang w:val="en-US" w:eastAsia="zh-CN"/>
        </w:rPr>
        <w:t>四、2026年推进法治政府建设的主要安排</w:t>
      </w:r>
    </w:p>
    <w:p w14:paraId="4AEC36F4">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rPr>
          <w:rFonts w:hint="eastAsia" w:ascii="Times New Roman" w:hAnsi="Times New Roman" w:eastAsia="宋体"/>
          <w:lang w:eastAsia="zh-CN"/>
        </w:rPr>
      </w:pPr>
      <w:r>
        <w:rPr>
          <w:rFonts w:hint="eastAsia" w:ascii="楷体_GB2312" w:hAnsi="楷体_GB2312" w:eastAsia="楷体_GB2312" w:cs="楷体_GB2312"/>
          <w:color w:val="auto"/>
          <w:sz w:val="32"/>
          <w:szCs w:val="32"/>
          <w:lang w:val="en-US" w:eastAsia="zh-CN"/>
        </w:rPr>
        <w:t>（一）</w:t>
      </w:r>
      <w:r>
        <w:rPr>
          <w:rFonts w:hint="eastAsia" w:ascii="楷体_GB2312" w:hAnsi="楷体_GB2312" w:eastAsia="楷体_GB2312" w:cs="楷体_GB2312"/>
          <w:sz w:val="32"/>
          <w:szCs w:val="32"/>
          <w:lang w:val="en-US" w:eastAsia="zh-CN"/>
        </w:rPr>
        <w:t>构建全</w:t>
      </w:r>
      <w:r>
        <w:rPr>
          <w:rFonts w:hint="eastAsia" w:ascii="Times New Roman" w:hAnsi="Times New Roman" w:eastAsia="楷体_GB2312" w:cs="楷体_GB2312"/>
          <w:sz w:val="32"/>
          <w:szCs w:val="32"/>
          <w:lang w:val="en-US" w:eastAsia="zh-CN"/>
        </w:rPr>
        <w:t>流程合同规范管理体系。</w:t>
      </w:r>
      <w:r>
        <w:rPr>
          <w:rFonts w:hint="eastAsia" w:ascii="Times New Roman" w:hAnsi="Times New Roman" w:eastAsia="仿宋_GB2312" w:cs="仿宋_GB2312"/>
          <w:sz w:val="32"/>
          <w:szCs w:val="32"/>
          <w:lang w:val="en-US" w:eastAsia="zh-CN"/>
        </w:rPr>
        <w:t>完善审查标准与流程，明确合同审查范围、程序及时限要求。强化合同管理与归档，建立合同管理台账，规范记录签订主体、签订时间、合同金额、履行期限等关键信息，指定专人负责台账维护与动态更新，确保账实相符。定期开展合同台账与存档资料的核查工作，切实防范资料遗失与登记差错。</w:t>
      </w:r>
    </w:p>
    <w:p w14:paraId="108CBF69">
      <w:pPr>
        <w:pStyle w:val="17"/>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Times New Roman" w:hAnsi="Times New Roman" w:eastAsia="仿宋_GB2312" w:cs="仿宋_GB2312"/>
          <w:sz w:val="32"/>
          <w:szCs w:val="32"/>
          <w:highlight w:val="none"/>
          <w:lang w:val="en-US" w:eastAsia="zh-CN"/>
        </w:rPr>
      </w:pPr>
      <w:r>
        <w:rPr>
          <w:rFonts w:hint="eastAsia" w:ascii="Times New Roman" w:hAnsi="Times New Roman" w:eastAsia="楷体_GB2312" w:cs="楷体_GB2312"/>
          <w:color w:val="auto"/>
          <w:sz w:val="32"/>
          <w:szCs w:val="32"/>
          <w:lang w:val="en-US" w:eastAsia="zh-CN"/>
        </w:rPr>
        <w:t>（二）建立基层治理新格局。</w:t>
      </w:r>
      <w:r>
        <w:rPr>
          <w:rFonts w:hint="eastAsia" w:ascii="Times New Roman" w:hAnsi="Times New Roman" w:eastAsia="仿宋_GB2312"/>
          <w:color w:val="auto"/>
          <w:sz w:val="32"/>
          <w:szCs w:val="32"/>
          <w:lang w:val="en-US" w:eastAsia="zh-CN"/>
        </w:rPr>
        <w:t>完善“网格+法治”工作机制，将法律政策宣传、风险排查、矛盾调解深度嵌入网格职责。</w:t>
      </w:r>
      <w:r>
        <w:rPr>
          <w:rFonts w:hint="eastAsia" w:ascii="Times New Roman" w:hAnsi="Times New Roman" w:eastAsia="仿宋_GB2312" w:cs="仿宋_GB2312"/>
          <w:b w:val="0"/>
          <w:bCs w:val="0"/>
          <w:kern w:val="2"/>
          <w:sz w:val="32"/>
          <w:szCs w:val="32"/>
          <w:lang w:val="en-US" w:eastAsia="zh-CN" w:bidi="ar-SA"/>
        </w:rPr>
        <w:t>完善自治力量配备，</w:t>
      </w:r>
      <w:r>
        <w:rPr>
          <w:rFonts w:hint="eastAsia" w:ascii="Times New Roman" w:hAnsi="Times New Roman" w:eastAsia="仿宋_GB2312" w:cs="仿宋_GB2312"/>
          <w:b w:val="0"/>
          <w:bCs w:val="0"/>
          <w:sz w:val="32"/>
          <w:szCs w:val="32"/>
          <w:highlight w:val="none"/>
          <w:lang w:val="en-US" w:eastAsia="zh-CN"/>
        </w:rPr>
        <w:t>每个社区必须配备“调解队、志愿队、宣讲队”三支队伍，常态化开展“书记茶话会”“饺子桌议事”，吸纳辖区共建单位、商户、企业等多元群体参与协商议事</w:t>
      </w:r>
      <w:r>
        <w:rPr>
          <w:rFonts w:hint="eastAsia" w:ascii="Times New Roman" w:hAnsi="Times New Roman" w:eastAsia="仿宋_GB2312" w:cs="仿宋_GB2312"/>
          <w:sz w:val="32"/>
          <w:szCs w:val="32"/>
          <w:highlight w:val="none"/>
          <w:lang w:val="en-US" w:eastAsia="zh-CN"/>
        </w:rPr>
        <w:t>。</w:t>
      </w:r>
    </w:p>
    <w:p w14:paraId="671AACD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（三）探索普法宣传新路径。</w:t>
      </w:r>
      <w:r>
        <w:rPr>
          <w:rFonts w:hint="eastAsia" w:ascii="Times New Roman" w:hAnsi="Times New Roman" w:eastAsia="仿宋_GB2312"/>
          <w:color w:val="auto"/>
          <w:sz w:val="32"/>
          <w:szCs w:val="32"/>
          <w:lang w:val="en-US" w:eastAsia="zh-CN"/>
        </w:rPr>
        <w:t>实施“靶向普法”工程，针对不同群体编制差异化普法指南。深化“法律明白人”培养工程，每个社区培育不少于3名骨干。优化公共法律服务网络，推动社区法律顾问服务提质增效，让法治成为辖区居民的生活方式和社会共识。</w:t>
      </w:r>
    </w:p>
    <w:p w14:paraId="00BCE975">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color w:val="auto"/>
          <w:sz w:val="32"/>
          <w:szCs w:val="32"/>
          <w:lang w:val="en-US" w:eastAsia="zh-CN"/>
        </w:rPr>
        <w:t>2026年，怡园街道将继续坚持以习近平法治思想为指引，在区党工委、管委的领导下，固根基、扬优势、补短板、强弱项，奋力推动法治政府建设再上新台阶，为建设更高水平的平安怡园、法治怡园，实现辖区高质量发展奠定更加坚实的法治基础。</w:t>
      </w:r>
    </w:p>
    <w:p w14:paraId="17B82901">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olor w:val="auto"/>
          <w:sz w:val="32"/>
          <w:szCs w:val="32"/>
          <w:lang w:val="en-US" w:eastAsia="zh-CN"/>
        </w:rPr>
      </w:pPr>
      <w:r>
        <w:rPr>
          <w:rFonts w:hint="eastAsia" w:ascii="Times New Roman" w:hAnsi="Times New Roman" w:eastAsia="仿宋_GB2312"/>
          <w:color w:val="auto"/>
          <w:sz w:val="32"/>
          <w:szCs w:val="32"/>
          <w:lang w:val="en-US" w:eastAsia="zh-CN"/>
        </w:rPr>
        <w:t xml:space="preserve">     </w:t>
      </w:r>
    </w:p>
    <w:p w14:paraId="400C2E02">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Times New Roman" w:hAnsi="Times New Roman" w:eastAsia="仿宋_GB2312"/>
          <w:color w:val="auto"/>
          <w:sz w:val="32"/>
          <w:szCs w:val="32"/>
          <w:lang w:val="en-US" w:eastAsia="zh-CN"/>
        </w:rPr>
      </w:pPr>
    </w:p>
    <w:p w14:paraId="31C19389">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ascii="Times New Roman" w:hAnsi="Times New Roman" w:eastAsia="方正小标宋简体" w:cs="方正小标宋简体"/>
          <w:sz w:val="44"/>
          <w:szCs w:val="44"/>
        </w:rPr>
      </w:pPr>
      <w:r>
        <w:rPr>
          <w:rFonts w:hint="eastAsia" w:ascii="Times New Roman" w:hAnsi="Times New Roman" w:eastAsia="仿宋_GB2312"/>
          <w:color w:val="auto"/>
          <w:sz w:val="32"/>
          <w:szCs w:val="32"/>
          <w:lang w:val="en-US" w:eastAsia="zh-CN"/>
        </w:rPr>
        <w:t xml:space="preserve">                     </w:t>
      </w:r>
      <w:bookmarkStart w:id="0" w:name="_GoBack"/>
      <w:bookmarkEnd w:id="0"/>
    </w:p>
    <w:p w14:paraId="4FECF82A">
      <w:pPr>
        <w:keepNext w:val="0"/>
        <w:keepLines w:val="0"/>
        <w:pageBreakBefore w:val="0"/>
        <w:kinsoku/>
        <w:overflowPunct/>
        <w:topLinePunct w:val="0"/>
        <w:autoSpaceDE/>
        <w:autoSpaceDN/>
        <w:bidi w:val="0"/>
        <w:adjustRightInd/>
        <w:snapToGrid/>
        <w:spacing w:line="560" w:lineRule="exact"/>
        <w:textAlignment w:val="auto"/>
        <w:rPr>
          <w:rFonts w:hint="eastAsia"/>
          <w:lang w:val="en-US" w:eastAsia="zh-CN"/>
        </w:rPr>
      </w:pPr>
    </w:p>
    <w:p w14:paraId="7D59CD2D">
      <w:pPr>
        <w:keepNext w:val="0"/>
        <w:keepLines w:val="0"/>
        <w:pageBreakBefore w:val="0"/>
        <w:kinsoku/>
        <w:wordWrap w:val="0"/>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lang w:val="en-US" w:eastAsia="zh-CN"/>
        </w:rPr>
      </w:pPr>
    </w:p>
    <w:p w14:paraId="32A07F9D">
      <w:pPr>
        <w:pStyle w:val="2"/>
        <w:rPr>
          <w:rFonts w:hint="eastAsia"/>
          <w:lang w:val="en-US" w:eastAsia="zh-CN"/>
        </w:rPr>
      </w:pPr>
    </w:p>
    <w:p w14:paraId="75666889">
      <w:pPr>
        <w:keepNext w:val="0"/>
        <w:keepLines w:val="0"/>
        <w:pageBreakBefore w:val="0"/>
        <w:widowControl w:val="0"/>
        <w:kinsoku/>
        <w:wordWrap w:val="0"/>
        <w:overflowPunct/>
        <w:topLinePunct w:val="0"/>
        <w:autoSpaceDE/>
        <w:autoSpaceDN/>
        <w:bidi w:val="0"/>
        <w:adjustRightInd/>
        <w:snapToGrid/>
        <w:spacing w:line="100" w:lineRule="exact"/>
        <w:jc w:val="both"/>
        <w:textAlignment w:val="auto"/>
        <w:rPr>
          <w:rFonts w:hint="eastAsia" w:ascii="Times New Roman" w:hAnsi="Times New Roman" w:eastAsia="仿宋_GB2312" w:cs="Times New Roman"/>
          <w:sz w:val="32"/>
          <w:szCs w:val="32"/>
          <w:lang w:val="en-US" w:eastAsia="zh-CN"/>
        </w:rPr>
      </w:pPr>
    </w:p>
    <w:p w14:paraId="1CD1945E">
      <w:pPr>
        <w:keepNext w:val="0"/>
        <w:keepLines w:val="0"/>
        <w:pageBreakBefore w:val="0"/>
        <w:widowControl w:val="0"/>
        <w:kinsoku/>
        <w:wordWrap w:val="0"/>
        <w:overflowPunct/>
        <w:topLinePunct w:val="0"/>
        <w:autoSpaceDE/>
        <w:autoSpaceDN/>
        <w:bidi w:val="0"/>
        <w:adjustRightInd/>
        <w:snapToGrid/>
        <w:spacing w:line="100" w:lineRule="exact"/>
        <w:jc w:val="both"/>
        <w:textAlignment w:val="auto"/>
        <w:rPr>
          <w:rFonts w:hint="eastAsia" w:ascii="Times New Roman" w:hAnsi="Times New Roman" w:eastAsia="仿宋_GB2312" w:cs="Times New Roman"/>
          <w:sz w:val="32"/>
          <w:szCs w:val="32"/>
          <w:lang w:val="en-US" w:eastAsia="zh-CN"/>
        </w:rPr>
      </w:pPr>
    </w:p>
    <w:p w14:paraId="53EB0B5A">
      <w:pPr>
        <w:keepNext w:val="0"/>
        <w:keepLines w:val="0"/>
        <w:pageBreakBefore w:val="0"/>
        <w:widowControl w:val="0"/>
        <w:kinsoku/>
        <w:wordWrap w:val="0"/>
        <w:overflowPunct/>
        <w:topLinePunct w:val="0"/>
        <w:autoSpaceDE/>
        <w:autoSpaceDN/>
        <w:bidi w:val="0"/>
        <w:adjustRightInd/>
        <w:snapToGrid/>
        <w:spacing w:line="100" w:lineRule="exact"/>
        <w:jc w:val="both"/>
        <w:textAlignment w:val="auto"/>
        <w:rPr>
          <w:rFonts w:hint="eastAsia" w:ascii="Times New Roman" w:hAnsi="Times New Roman" w:eastAsia="仿宋_GB2312" w:cs="Times New Roman"/>
          <w:sz w:val="32"/>
          <w:szCs w:val="32"/>
          <w:lang w:val="en-US" w:eastAsia="zh-CN"/>
        </w:rPr>
      </w:pPr>
    </w:p>
    <w:p w14:paraId="47210DA6">
      <w:pPr>
        <w:keepNext w:val="0"/>
        <w:keepLines w:val="0"/>
        <w:pageBreakBefore w:val="0"/>
        <w:kinsoku/>
        <w:overflowPunct/>
        <w:topLinePunct w:val="0"/>
        <w:autoSpaceDE/>
        <w:autoSpaceDN/>
        <w:bidi w:val="0"/>
        <w:adjustRightInd/>
        <w:snapToGrid/>
        <w:spacing w:line="540" w:lineRule="exact"/>
        <w:jc w:val="left"/>
        <w:textAlignment w:val="auto"/>
        <w:rPr>
          <w:rFonts w:hint="default" w:ascii="Times New Roman" w:hAnsi="Times New Roman" w:eastAsia="仿宋_GB2312" w:cs="Times New Roman"/>
          <w:color w:val="000000"/>
          <w:kern w:val="0"/>
          <w:sz w:val="32"/>
          <w:szCs w:val="32"/>
          <w:lang w:val="en-US"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CD529A4-92F2-4AAB-B4B7-6F24A53D65B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55EB8D28-5EEB-4380-87C3-6A47B40340AC}"/>
  </w:font>
  <w:font w:name="方正小标宋简体">
    <w:panose1 w:val="02000000000000000000"/>
    <w:charset w:val="86"/>
    <w:family w:val="script"/>
    <w:pitch w:val="default"/>
    <w:sig w:usb0="A00002BF" w:usb1="184F6CFA" w:usb2="00000012" w:usb3="00000000" w:csb0="00040001" w:csb1="00000000"/>
    <w:embedRegular r:id="rId3" w:fontKey="{928473E3-D17E-4893-A827-E100425B8A73}"/>
  </w:font>
  <w:font w:name="楷体_GB2312">
    <w:panose1 w:val="02010609030101010101"/>
    <w:charset w:val="86"/>
    <w:family w:val="auto"/>
    <w:pitch w:val="default"/>
    <w:sig w:usb0="00000001" w:usb1="080E0000" w:usb2="00000000" w:usb3="00000000" w:csb0="00040000" w:csb1="00000000"/>
    <w:embedRegular r:id="rId4" w:fontKey="{359CF026-0C8E-464D-9C4D-E8DD29091D93}"/>
  </w:font>
  <w:font w:name="仿宋_GB2312">
    <w:panose1 w:val="02010609030101010101"/>
    <w:charset w:val="86"/>
    <w:family w:val="modern"/>
    <w:pitch w:val="default"/>
    <w:sig w:usb0="00000001" w:usb1="080E0000" w:usb2="00000000" w:usb3="00000000" w:csb0="00040000" w:csb1="00000000"/>
    <w:embedRegular r:id="rId5" w:fontKey="{7912D647-71C9-40FB-B716-60EABF19803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F6FAC">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xZTExMDVkODdmNDRlNmYxZTA3NDI4OTg3MGE0NDIifQ=="/>
    <w:docVar w:name="KSO_WPS_MARK_KEY" w:val="ef55e917-718d-4888-9fb8-df77325a2e8c"/>
  </w:docVars>
  <w:rsids>
    <w:rsidRoot w:val="00476B7F"/>
    <w:rsid w:val="000347DD"/>
    <w:rsid w:val="00064696"/>
    <w:rsid w:val="000917B3"/>
    <w:rsid w:val="001E6E7D"/>
    <w:rsid w:val="002D0B24"/>
    <w:rsid w:val="003C70E8"/>
    <w:rsid w:val="00476B7F"/>
    <w:rsid w:val="00496779"/>
    <w:rsid w:val="00526E9E"/>
    <w:rsid w:val="00584EA3"/>
    <w:rsid w:val="005B7AEE"/>
    <w:rsid w:val="005D6694"/>
    <w:rsid w:val="00651FE0"/>
    <w:rsid w:val="006A0B14"/>
    <w:rsid w:val="006E76F1"/>
    <w:rsid w:val="007146E1"/>
    <w:rsid w:val="007C0CCF"/>
    <w:rsid w:val="008172C6"/>
    <w:rsid w:val="00830E13"/>
    <w:rsid w:val="00977CFB"/>
    <w:rsid w:val="009A61ED"/>
    <w:rsid w:val="00A81A04"/>
    <w:rsid w:val="00AB71B8"/>
    <w:rsid w:val="00BE05D4"/>
    <w:rsid w:val="00BE71DD"/>
    <w:rsid w:val="00D031B9"/>
    <w:rsid w:val="00D70859"/>
    <w:rsid w:val="00E003A2"/>
    <w:rsid w:val="00EF22F4"/>
    <w:rsid w:val="00F24FA2"/>
    <w:rsid w:val="00F36659"/>
    <w:rsid w:val="00F75F5E"/>
    <w:rsid w:val="020162D5"/>
    <w:rsid w:val="02587777"/>
    <w:rsid w:val="0259024A"/>
    <w:rsid w:val="029F7154"/>
    <w:rsid w:val="02FC45A7"/>
    <w:rsid w:val="051D4088"/>
    <w:rsid w:val="0583116F"/>
    <w:rsid w:val="060C6FD5"/>
    <w:rsid w:val="06217A62"/>
    <w:rsid w:val="06B50CF4"/>
    <w:rsid w:val="076646E5"/>
    <w:rsid w:val="07B64236"/>
    <w:rsid w:val="07EA70C4"/>
    <w:rsid w:val="07EC5AA9"/>
    <w:rsid w:val="08393BA7"/>
    <w:rsid w:val="08A454C4"/>
    <w:rsid w:val="092E2D14"/>
    <w:rsid w:val="093700E7"/>
    <w:rsid w:val="09412D13"/>
    <w:rsid w:val="09945C69"/>
    <w:rsid w:val="09E87E01"/>
    <w:rsid w:val="0A5151D8"/>
    <w:rsid w:val="0B576E2F"/>
    <w:rsid w:val="0B9B06B5"/>
    <w:rsid w:val="0BB7550F"/>
    <w:rsid w:val="0C1F0797"/>
    <w:rsid w:val="0C344DB1"/>
    <w:rsid w:val="0F144AE6"/>
    <w:rsid w:val="0F296723"/>
    <w:rsid w:val="0F5F5FB0"/>
    <w:rsid w:val="11A65B39"/>
    <w:rsid w:val="153100E0"/>
    <w:rsid w:val="16CB1233"/>
    <w:rsid w:val="181A0E4D"/>
    <w:rsid w:val="18C354F3"/>
    <w:rsid w:val="197F10B9"/>
    <w:rsid w:val="1AB84DFF"/>
    <w:rsid w:val="1AF14A10"/>
    <w:rsid w:val="1B1E2860"/>
    <w:rsid w:val="1BC021BE"/>
    <w:rsid w:val="1C974E74"/>
    <w:rsid w:val="1CD001DE"/>
    <w:rsid w:val="1D743260"/>
    <w:rsid w:val="1DA1596B"/>
    <w:rsid w:val="1EF06AF2"/>
    <w:rsid w:val="1FE32761"/>
    <w:rsid w:val="1FFA494D"/>
    <w:rsid w:val="201163B2"/>
    <w:rsid w:val="20BB6022"/>
    <w:rsid w:val="21E14C3C"/>
    <w:rsid w:val="22BD1205"/>
    <w:rsid w:val="256F5B78"/>
    <w:rsid w:val="26D1527F"/>
    <w:rsid w:val="26EE4083"/>
    <w:rsid w:val="273D2914"/>
    <w:rsid w:val="27EC7891"/>
    <w:rsid w:val="28327F9F"/>
    <w:rsid w:val="28447CD2"/>
    <w:rsid w:val="29B64C00"/>
    <w:rsid w:val="2A3A75DF"/>
    <w:rsid w:val="2AE11B00"/>
    <w:rsid w:val="2B6A0A74"/>
    <w:rsid w:val="2CB03B88"/>
    <w:rsid w:val="2CC94C4A"/>
    <w:rsid w:val="2D346567"/>
    <w:rsid w:val="2EB060C2"/>
    <w:rsid w:val="305E23B1"/>
    <w:rsid w:val="30F5600E"/>
    <w:rsid w:val="33900270"/>
    <w:rsid w:val="35216749"/>
    <w:rsid w:val="3781793D"/>
    <w:rsid w:val="37875BB4"/>
    <w:rsid w:val="37AD7642"/>
    <w:rsid w:val="38312021"/>
    <w:rsid w:val="38C34C43"/>
    <w:rsid w:val="3B011405"/>
    <w:rsid w:val="3B565B58"/>
    <w:rsid w:val="3BAE3989"/>
    <w:rsid w:val="3BB865B6"/>
    <w:rsid w:val="3C3C0F95"/>
    <w:rsid w:val="3D3779A7"/>
    <w:rsid w:val="3DA90835"/>
    <w:rsid w:val="3E410AE4"/>
    <w:rsid w:val="3E9C00A2"/>
    <w:rsid w:val="3EF9178D"/>
    <w:rsid w:val="40717CC4"/>
    <w:rsid w:val="41FF45D7"/>
    <w:rsid w:val="42F56341"/>
    <w:rsid w:val="433C079C"/>
    <w:rsid w:val="43A37B4B"/>
    <w:rsid w:val="43F108B7"/>
    <w:rsid w:val="44FB217C"/>
    <w:rsid w:val="45486BFC"/>
    <w:rsid w:val="457645C7"/>
    <w:rsid w:val="45E360C7"/>
    <w:rsid w:val="461D3BE5"/>
    <w:rsid w:val="46584C1D"/>
    <w:rsid w:val="46753A21"/>
    <w:rsid w:val="46BB3C3F"/>
    <w:rsid w:val="484C303A"/>
    <w:rsid w:val="485041DC"/>
    <w:rsid w:val="48DC7D87"/>
    <w:rsid w:val="4A4B4887"/>
    <w:rsid w:val="4AB663B6"/>
    <w:rsid w:val="4B306168"/>
    <w:rsid w:val="4BC4020E"/>
    <w:rsid w:val="4C373527"/>
    <w:rsid w:val="4CA7245A"/>
    <w:rsid w:val="4DB43081"/>
    <w:rsid w:val="501A73E7"/>
    <w:rsid w:val="511F61A8"/>
    <w:rsid w:val="516E1798"/>
    <w:rsid w:val="51BB2504"/>
    <w:rsid w:val="52495D62"/>
    <w:rsid w:val="52770B21"/>
    <w:rsid w:val="52E2256A"/>
    <w:rsid w:val="559F1D18"/>
    <w:rsid w:val="56CC7A25"/>
    <w:rsid w:val="572172AD"/>
    <w:rsid w:val="58B33C30"/>
    <w:rsid w:val="59374B66"/>
    <w:rsid w:val="593A191C"/>
    <w:rsid w:val="59406FF4"/>
    <w:rsid w:val="5AF90400"/>
    <w:rsid w:val="5B4A2A71"/>
    <w:rsid w:val="5B555777"/>
    <w:rsid w:val="5BA83AF9"/>
    <w:rsid w:val="5C7875C4"/>
    <w:rsid w:val="5E1E6343"/>
    <w:rsid w:val="5EE8466C"/>
    <w:rsid w:val="5F1D025A"/>
    <w:rsid w:val="5F685A79"/>
    <w:rsid w:val="603242D9"/>
    <w:rsid w:val="61582B9B"/>
    <w:rsid w:val="617F354E"/>
    <w:rsid w:val="6212765D"/>
    <w:rsid w:val="624520A2"/>
    <w:rsid w:val="6340176D"/>
    <w:rsid w:val="65840917"/>
    <w:rsid w:val="659C22C0"/>
    <w:rsid w:val="65CC4888"/>
    <w:rsid w:val="65DF308B"/>
    <w:rsid w:val="65DF45BB"/>
    <w:rsid w:val="65F04A1A"/>
    <w:rsid w:val="66B96CB5"/>
    <w:rsid w:val="671F3BAD"/>
    <w:rsid w:val="67BA708E"/>
    <w:rsid w:val="68733B95"/>
    <w:rsid w:val="69863FC7"/>
    <w:rsid w:val="69BA3375"/>
    <w:rsid w:val="69D22757"/>
    <w:rsid w:val="6A3D3FA6"/>
    <w:rsid w:val="6B35667E"/>
    <w:rsid w:val="6B8A74F1"/>
    <w:rsid w:val="6C323EAE"/>
    <w:rsid w:val="6CB57C01"/>
    <w:rsid w:val="6CB70040"/>
    <w:rsid w:val="6CF72C65"/>
    <w:rsid w:val="6D222A39"/>
    <w:rsid w:val="6E0F235D"/>
    <w:rsid w:val="6E881C94"/>
    <w:rsid w:val="6FA26D85"/>
    <w:rsid w:val="702E2F9A"/>
    <w:rsid w:val="704C48BC"/>
    <w:rsid w:val="70A27989"/>
    <w:rsid w:val="70FB6A8F"/>
    <w:rsid w:val="71431EA2"/>
    <w:rsid w:val="7196439C"/>
    <w:rsid w:val="71983729"/>
    <w:rsid w:val="72CE6EE6"/>
    <w:rsid w:val="750954B6"/>
    <w:rsid w:val="75BA46FD"/>
    <w:rsid w:val="75F610A8"/>
    <w:rsid w:val="77334767"/>
    <w:rsid w:val="779B410F"/>
    <w:rsid w:val="77E3031F"/>
    <w:rsid w:val="78436C2C"/>
    <w:rsid w:val="79294073"/>
    <w:rsid w:val="793B3DA7"/>
    <w:rsid w:val="79BB6676"/>
    <w:rsid w:val="7AE656CC"/>
    <w:rsid w:val="7D1868D9"/>
    <w:rsid w:val="7D5D55DA"/>
    <w:rsid w:val="7D8B694F"/>
    <w:rsid w:val="7EC940F7"/>
    <w:rsid w:val="7F6776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Ascii" w:hAnsiTheme="minorAsci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5"/>
    <w:qFormat/>
    <w:uiPriority w:val="0"/>
    <w:pPr>
      <w:spacing w:after="0"/>
      <w:ind w:firstLine="420" w:firstLineChars="200"/>
    </w:pPr>
  </w:style>
  <w:style w:type="paragraph" w:styleId="3">
    <w:name w:val="Body Text Indent"/>
    <w:basedOn w:val="1"/>
    <w:next w:val="4"/>
    <w:qFormat/>
    <w:uiPriority w:val="0"/>
    <w:pPr>
      <w:spacing w:after="120"/>
      <w:ind w:left="420" w:leftChars="200"/>
    </w:pPr>
  </w:style>
  <w:style w:type="paragraph" w:styleId="4">
    <w:name w:val="Normal Indent"/>
    <w:basedOn w:val="1"/>
    <w:next w:val="1"/>
    <w:autoRedefine/>
    <w:unhideWhenUsed/>
    <w:qFormat/>
    <w:uiPriority w:val="99"/>
    <w:pPr>
      <w:ind w:firstLine="420" w:firstLineChars="200"/>
    </w:pPr>
  </w:style>
  <w:style w:type="paragraph" w:styleId="5">
    <w:name w:val="Body Text First Indent"/>
    <w:basedOn w:val="6"/>
    <w:qFormat/>
    <w:uiPriority w:val="0"/>
    <w:pPr>
      <w:spacing w:after="120"/>
      <w:ind w:left="0" w:firstLine="420" w:firstLineChars="100"/>
    </w:pPr>
    <w:rPr>
      <w:rFonts w:ascii="Calibri" w:hAnsi="Calibri" w:eastAsia="宋体" w:cs="Times New Roman"/>
      <w:sz w:val="21"/>
      <w:szCs w:val="24"/>
      <w:lang w:val="en-US" w:bidi="ar-SA"/>
    </w:rPr>
  </w:style>
  <w:style w:type="paragraph" w:styleId="6">
    <w:name w:val="Body Text"/>
    <w:basedOn w:val="1"/>
    <w:next w:val="1"/>
    <w:qFormat/>
    <w:uiPriority w:val="0"/>
    <w:pPr>
      <w:jc w:val="center"/>
    </w:pPr>
    <w:rPr>
      <w:rFonts w:eastAsia="方正小标宋简体"/>
      <w:sz w:val="36"/>
      <w:lang w:val="en-US" w:eastAsia="zh-CN"/>
    </w:rPr>
  </w:style>
  <w:style w:type="paragraph" w:styleId="7">
    <w:name w:val="footer"/>
    <w:basedOn w:val="1"/>
    <w:link w:val="14"/>
    <w:semiHidden/>
    <w:unhideWhenUsed/>
    <w:qFormat/>
    <w:uiPriority w:val="99"/>
    <w:pPr>
      <w:tabs>
        <w:tab w:val="center" w:pos="4153"/>
        <w:tab w:val="right" w:pos="8306"/>
      </w:tabs>
      <w:snapToGrid w:val="0"/>
      <w:jc w:val="left"/>
    </w:pPr>
    <w:rPr>
      <w:sz w:val="18"/>
      <w:szCs w:val="18"/>
    </w:rPr>
  </w:style>
  <w:style w:type="paragraph" w:styleId="8">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100" w:beforeAutospacing="1" w:after="100" w:afterAutospacing="1"/>
      <w:jc w:val="left"/>
    </w:pPr>
    <w:rPr>
      <w:kern w:val="0"/>
      <w:sz w:val="24"/>
    </w:rPr>
  </w:style>
  <w:style w:type="table" w:styleId="11">
    <w:name w:val="Table Grid"/>
    <w:basedOn w:val="10"/>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页眉 Char"/>
    <w:basedOn w:val="12"/>
    <w:link w:val="8"/>
    <w:semiHidden/>
    <w:qFormat/>
    <w:uiPriority w:val="99"/>
    <w:rPr>
      <w:sz w:val="18"/>
      <w:szCs w:val="18"/>
    </w:rPr>
  </w:style>
  <w:style w:type="character" w:customStyle="1" w:styleId="14">
    <w:name w:val="页脚 Char"/>
    <w:basedOn w:val="12"/>
    <w:link w:val="7"/>
    <w:autoRedefine/>
    <w:semiHidden/>
    <w:qFormat/>
    <w:uiPriority w:val="99"/>
    <w:rPr>
      <w:sz w:val="18"/>
      <w:szCs w:val="18"/>
    </w:rPr>
  </w:style>
  <w:style w:type="paragraph" w:customStyle="1" w:styleId="15">
    <w:name w:val="p0"/>
    <w:basedOn w:val="1"/>
    <w:next w:val="1"/>
    <w:autoRedefine/>
    <w:qFormat/>
    <w:uiPriority w:val="99"/>
    <w:pPr>
      <w:widowControl/>
    </w:pPr>
  </w:style>
  <w:style w:type="character" w:customStyle="1" w:styleId="16">
    <w:name w:val="font11"/>
    <w:basedOn w:val="12"/>
    <w:autoRedefine/>
    <w:qFormat/>
    <w:uiPriority w:val="0"/>
    <w:rPr>
      <w:rFonts w:ascii="宋体" w:hAnsi="宋体" w:eastAsia="宋体" w:cs="宋体"/>
      <w:color w:val="000000"/>
      <w:sz w:val="20"/>
      <w:szCs w:val="20"/>
      <w:u w:val="none"/>
    </w:rPr>
  </w:style>
  <w:style w:type="paragraph" w:styleId="1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3667</Words>
  <Characters>3813</Characters>
  <Lines>2</Lines>
  <Paragraphs>1</Paragraphs>
  <TotalTime>17</TotalTime>
  <ScaleCrop>false</ScaleCrop>
  <LinksUpToDate>false</LinksUpToDate>
  <CharactersWithSpaces>3878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2019-11-19T00:18:00Z</dcterms:created>
  <dc:creator>微软用户</dc:creator>
  <cp:lastModifiedBy>╰懂的人。</cp:lastModifiedBy>
  <cp:lastPrinted>2024-07-05T06:16:00Z</cp:lastPrinted>
  <dcterms:modified xsi:type="dcterms:W3CDTF">2026-01-21T00:58:45Z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BBFA0F304AE3497A8520AE598408C148_13</vt:lpwstr>
  </property>
  <property fmtid="{D5CDD505-2E9C-101B-9397-08002B2CF9AE}" pid="4" name="KSOTemplateDocerSaveRecord">
    <vt:lpwstr>eyJoZGlkIjoiYmVlOGVkMzlhNmVjZGRkNzZkNzM0NmVmYWUzYzJkMTMiLCJ1c2VySWQiOiI0NjE4OTkwMjQifQ==</vt:lpwstr>
  </property>
</Properties>
</file>