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209F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威海火炬高技术产业开发区</w:t>
      </w:r>
    </w:p>
    <w:p w14:paraId="6C0B5CD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color w:val="000000"/>
          <w:kern w:val="2"/>
          <w:sz w:val="44"/>
          <w:szCs w:val="44"/>
          <w:u w:val="none"/>
          <w:lang w:val="en-US" w:eastAsia="zh-CN" w:bidi="ar-SA"/>
        </w:rPr>
      </w:pPr>
      <w:r>
        <w:rPr>
          <w:rFonts w:hint="eastAsia" w:ascii="方正小标宋简体" w:hAnsi="方正小标宋简体" w:eastAsia="方正小标宋简体" w:cs="方正小标宋简体"/>
          <w:sz w:val="44"/>
          <w:szCs w:val="44"/>
        </w:rPr>
        <w:t>普惠性民办幼儿园认定及管理办法</w:t>
      </w:r>
    </w:p>
    <w:p w14:paraId="5EF93EAC">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center"/>
        <w:textAlignment w:val="auto"/>
        <w:rPr>
          <w:rFonts w:hint="eastAsia" w:ascii="楷体_GB2312" w:hAnsi="楷体_GB2312" w:eastAsia="楷体_GB2312" w:cs="楷体_GB2312"/>
          <w:color w:val="000000"/>
          <w:kern w:val="2"/>
          <w:sz w:val="32"/>
          <w:szCs w:val="32"/>
          <w:u w:val="none"/>
          <w:lang w:val="en-US" w:eastAsia="zh-CN" w:bidi="ar-SA"/>
        </w:rPr>
      </w:pPr>
      <w:r>
        <w:rPr>
          <w:rFonts w:hint="eastAsia" w:ascii="楷体_GB2312" w:hAnsi="楷体_GB2312" w:eastAsia="楷体_GB2312" w:cs="楷体_GB2312"/>
          <w:color w:val="000000"/>
          <w:kern w:val="2"/>
          <w:sz w:val="32"/>
          <w:szCs w:val="32"/>
          <w:u w:val="none"/>
          <w:lang w:val="en-US" w:eastAsia="zh-CN" w:bidi="ar-SA"/>
        </w:rPr>
        <w:t>（草案征求意见稿）</w:t>
      </w:r>
    </w:p>
    <w:p w14:paraId="41EC673F">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center"/>
        <w:textAlignment w:val="auto"/>
        <w:rPr>
          <w:rFonts w:hint="eastAsia" w:ascii="楷体_GB2312" w:hAnsi="楷体_GB2312" w:eastAsia="楷体_GB2312" w:cs="楷体_GB2312"/>
          <w:color w:val="000000"/>
          <w:kern w:val="2"/>
          <w:sz w:val="32"/>
          <w:szCs w:val="32"/>
          <w:u w:val="none"/>
          <w:lang w:val="en-US" w:eastAsia="zh-CN" w:bidi="ar-SA"/>
        </w:rPr>
      </w:pPr>
    </w:p>
    <w:p w14:paraId="67A670AA">
      <w:pPr>
        <w:spacing w:before="133" w:line="207" w:lineRule="auto"/>
        <w:jc w:val="center"/>
        <w:rPr>
          <w:rFonts w:hint="eastAsia" w:ascii="黑体" w:hAnsi="黑体" w:eastAsia="黑体" w:cs="黑体"/>
          <w:sz w:val="32"/>
          <w:szCs w:val="32"/>
        </w:rPr>
      </w:pPr>
      <w:r>
        <w:rPr>
          <w:rFonts w:hint="eastAsia" w:ascii="黑体" w:hAnsi="黑体" w:eastAsia="黑体" w:cs="黑体"/>
          <w:spacing w:val="5"/>
          <w:sz w:val="32"/>
          <w:szCs w:val="32"/>
        </w:rPr>
        <w:t>第一章</w:t>
      </w:r>
      <w:r>
        <w:rPr>
          <w:rFonts w:hint="eastAsia" w:ascii="黑体" w:hAnsi="黑体" w:eastAsia="黑体" w:cs="黑体"/>
          <w:spacing w:val="21"/>
          <w:sz w:val="32"/>
          <w:szCs w:val="32"/>
        </w:rPr>
        <w:t xml:space="preserve">   </w:t>
      </w:r>
      <w:r>
        <w:rPr>
          <w:rFonts w:hint="eastAsia" w:ascii="黑体" w:hAnsi="黑体" w:eastAsia="黑体" w:cs="黑体"/>
          <w:spacing w:val="5"/>
          <w:sz w:val="32"/>
          <w:szCs w:val="32"/>
        </w:rPr>
        <w:t>总则</w:t>
      </w:r>
    </w:p>
    <w:p w14:paraId="37C08696">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rPr>
      </w:pPr>
    </w:p>
    <w:p w14:paraId="379CAE07">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right="0" w:firstLine="652" w:firstLineChars="200"/>
        <w:jc w:val="both"/>
        <w:textAlignment w:val="auto"/>
        <w:rPr>
          <w:rFonts w:hint="eastAsia" w:ascii="黑体" w:hAnsi="黑体" w:eastAsia="黑体" w:cs="黑体"/>
          <w:sz w:val="32"/>
          <w:szCs w:val="32"/>
          <w:lang w:val="en-US" w:eastAsia="zh-CN"/>
        </w:rPr>
      </w:pPr>
      <w:r>
        <w:rPr>
          <w:rFonts w:ascii="黑体" w:hAnsi="黑体" w:eastAsia="黑体" w:cs="黑体"/>
          <w:spacing w:val="10"/>
          <w:sz w:val="31"/>
          <w:szCs w:val="31"/>
        </w:rPr>
        <w:t xml:space="preserve">第一条  </w:t>
      </w:r>
      <w:r>
        <w:rPr>
          <w:rFonts w:hint="eastAsia" w:ascii="仿宋_GB2312" w:hAnsi="仿宋_GB2312" w:eastAsia="仿宋_GB2312" w:cs="仿宋_GB2312"/>
          <w:color w:val="000000"/>
          <w:kern w:val="0"/>
          <w:sz w:val="32"/>
          <w:szCs w:val="32"/>
          <w:u w:val="none"/>
          <w:lang w:val="en-US" w:eastAsia="zh-CN" w:bidi="ar-SA"/>
        </w:rPr>
        <w:t>为贯彻落实《中华人民共和国学前教育法》《中华人民共和国民办教育促进法》《山东省学前教育条例》《关于印发威海市普惠性民办幼儿园认定管理办法的通知》（威教学前字〔2015〕2号）等法律法规和政策文件要求，</w:t>
      </w:r>
      <w:r>
        <w:rPr>
          <w:rFonts w:hint="eastAsia" w:eastAsia="仿宋_GB2312"/>
          <w:sz w:val="32"/>
          <w:szCs w:val="32"/>
          <w:u w:val="none"/>
        </w:rPr>
        <w:t>引导和支持普惠性民办幼儿园健康发展，加快推进学前教育普及普惠安全优质发展，</w:t>
      </w:r>
      <w:r>
        <w:rPr>
          <w:rFonts w:hint="eastAsia"/>
          <w:sz w:val="32"/>
          <w:szCs w:val="32"/>
          <w:u w:val="none"/>
          <w:lang w:eastAsia="zh-CN"/>
        </w:rPr>
        <w:t>结合高区实际，</w:t>
      </w:r>
      <w:r>
        <w:rPr>
          <w:rFonts w:hint="eastAsia" w:ascii="仿宋_GB2312" w:hAnsi="仿宋_GB2312" w:eastAsia="仿宋_GB2312" w:cs="仿宋_GB2312"/>
          <w:color w:val="000000"/>
          <w:kern w:val="0"/>
          <w:sz w:val="32"/>
          <w:szCs w:val="32"/>
          <w:u w:val="none"/>
          <w:lang w:val="en-US" w:eastAsia="zh-CN" w:bidi="ar-SA"/>
        </w:rPr>
        <w:t>现</w:t>
      </w:r>
      <w:r>
        <w:rPr>
          <w:rFonts w:hint="eastAsia" w:ascii="仿宋_GB2312" w:hAnsi="仿宋_GB2312" w:eastAsia="仿宋_GB2312" w:cs="仿宋_GB2312"/>
          <w:color w:val="auto"/>
          <w:kern w:val="0"/>
          <w:sz w:val="32"/>
          <w:szCs w:val="32"/>
          <w:highlight w:val="none"/>
          <w:u w:val="none"/>
          <w:lang w:val="en-US" w:eastAsia="zh-CN" w:bidi="ar-SA"/>
        </w:rPr>
        <w:t>对</w:t>
      </w:r>
      <w:r>
        <w:rPr>
          <w:rFonts w:hint="eastAsia" w:ascii="仿宋_GB2312" w:hAnsi="仿宋_GB2312" w:eastAsia="仿宋_GB2312" w:cs="仿宋_GB2312"/>
          <w:color w:val="000000"/>
          <w:kern w:val="0"/>
          <w:sz w:val="32"/>
          <w:szCs w:val="32"/>
          <w:u w:val="none"/>
          <w:lang w:val="en-US" w:eastAsia="zh-CN" w:bidi="ar-SA"/>
        </w:rPr>
        <w:t>普惠性民办幼儿园认定、扶持及监管工作，制定办法如下。</w:t>
      </w:r>
    </w:p>
    <w:p w14:paraId="1AAF158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32" w:firstLineChars="200"/>
        <w:jc w:val="both"/>
        <w:textAlignment w:val="auto"/>
        <w:rPr>
          <w:rFonts w:hint="eastAsia" w:ascii="仿宋_GB2312" w:hAnsi="仿宋_GB2312" w:eastAsia="仿宋_GB2312" w:cs="仿宋_GB2312"/>
          <w:color w:val="000000"/>
          <w:kern w:val="0"/>
          <w:sz w:val="32"/>
          <w:szCs w:val="32"/>
          <w:u w:val="none"/>
          <w:lang w:val="en-US" w:eastAsia="zh-CN" w:bidi="ar-SA"/>
        </w:rPr>
      </w:pPr>
    </w:p>
    <w:p w14:paraId="68D013F8">
      <w:pPr>
        <w:spacing w:before="133" w:line="207" w:lineRule="auto"/>
        <w:jc w:val="center"/>
        <w:rPr>
          <w:rFonts w:hint="eastAsia" w:ascii="黑体" w:hAnsi="黑体" w:eastAsia="黑体" w:cs="黑体"/>
          <w:spacing w:val="5"/>
          <w:sz w:val="32"/>
          <w:szCs w:val="32"/>
        </w:rPr>
      </w:pPr>
      <w:r>
        <w:rPr>
          <w:rFonts w:hint="eastAsia" w:ascii="黑体" w:hAnsi="黑体" w:eastAsia="黑体" w:cs="黑体"/>
          <w:spacing w:val="5"/>
          <w:sz w:val="32"/>
          <w:szCs w:val="32"/>
        </w:rPr>
        <w:t>第二章</w:t>
      </w:r>
      <w:r>
        <w:rPr>
          <w:rFonts w:hint="eastAsia" w:ascii="黑体" w:hAnsi="黑体" w:eastAsia="黑体" w:cs="黑体"/>
          <w:spacing w:val="21"/>
          <w:sz w:val="32"/>
          <w:szCs w:val="32"/>
        </w:rPr>
        <w:t xml:space="preserve">   </w:t>
      </w:r>
      <w:r>
        <w:rPr>
          <w:rFonts w:hint="eastAsia" w:ascii="黑体" w:hAnsi="黑体" w:eastAsia="黑体" w:cs="黑体"/>
          <w:spacing w:val="5"/>
          <w:sz w:val="32"/>
          <w:szCs w:val="32"/>
        </w:rPr>
        <w:t>申报对象</w:t>
      </w:r>
    </w:p>
    <w:p w14:paraId="5F1FDB7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32" w:firstLineChars="200"/>
        <w:jc w:val="both"/>
        <w:textAlignment w:val="auto"/>
        <w:rPr>
          <w:rFonts w:hint="eastAsia" w:ascii="仿宋_GB2312" w:hAnsi="仿宋_GB2312" w:eastAsia="仿宋_GB2312" w:cs="仿宋_GB2312"/>
          <w:color w:val="000000"/>
          <w:kern w:val="0"/>
          <w:sz w:val="32"/>
          <w:szCs w:val="32"/>
          <w:u w:val="none"/>
          <w:lang w:val="en-US" w:eastAsia="zh-CN" w:bidi="ar-SA"/>
        </w:rPr>
      </w:pPr>
    </w:p>
    <w:p w14:paraId="3AFB3C19">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eastAsia="zh-CN"/>
        </w:rPr>
      </w:pPr>
      <w:r>
        <w:rPr>
          <w:rFonts w:ascii="黑体" w:hAnsi="黑体" w:eastAsia="黑体" w:cs="黑体"/>
          <w:spacing w:val="5"/>
          <w:sz w:val="31"/>
          <w:szCs w:val="31"/>
        </w:rPr>
        <w:t xml:space="preserve">第二条  </w:t>
      </w:r>
      <w:r>
        <w:rPr>
          <w:rFonts w:hint="eastAsia" w:eastAsia="仿宋_GB2312"/>
          <w:color w:val="auto"/>
          <w:sz w:val="32"/>
          <w:szCs w:val="32"/>
          <w:highlight w:val="none"/>
        </w:rPr>
        <w:t>高区范围内，由国家机构、国有企事业单位、农村集体经济组织以外的社会组织或个人举办的非营利性民办幼儿园，</w:t>
      </w:r>
      <w:r>
        <w:rPr>
          <w:rFonts w:hint="eastAsia" w:eastAsia="仿宋_GB2312"/>
          <w:color w:val="auto"/>
          <w:sz w:val="32"/>
          <w:szCs w:val="32"/>
          <w:highlight w:val="none"/>
          <w:lang w:eastAsia="zh-CN"/>
        </w:rPr>
        <w:t>具有办园资质，</w:t>
      </w:r>
      <w:r>
        <w:rPr>
          <w:rFonts w:hint="eastAsia" w:ascii="仿宋_GB2312" w:hAnsi="仿宋_GB2312" w:eastAsia="仿宋_GB2312" w:cs="仿宋_GB2312"/>
          <w:color w:val="auto"/>
          <w:sz w:val="32"/>
          <w:szCs w:val="32"/>
          <w:lang w:eastAsia="zh-CN"/>
        </w:rPr>
        <w:t>管理规范，</w:t>
      </w:r>
      <w:r>
        <w:rPr>
          <w:rFonts w:hint="eastAsia" w:eastAsia="仿宋_GB2312"/>
          <w:color w:val="auto"/>
          <w:sz w:val="32"/>
          <w:szCs w:val="32"/>
          <w:highlight w:val="none"/>
        </w:rPr>
        <w:t>面向大众提供普惠性学前教育服务，收费合</w:t>
      </w:r>
      <w:r>
        <w:rPr>
          <w:rFonts w:hint="eastAsia" w:eastAsia="仿宋_GB2312"/>
          <w:color w:val="auto"/>
          <w:sz w:val="32"/>
          <w:szCs w:val="32"/>
          <w:highlight w:val="none"/>
          <w:lang w:eastAsia="zh-CN"/>
        </w:rPr>
        <w:t>理</w:t>
      </w:r>
      <w:r>
        <w:rPr>
          <w:rFonts w:hint="eastAsia" w:eastAsia="仿宋_GB2312"/>
          <w:color w:val="auto"/>
          <w:sz w:val="32"/>
          <w:szCs w:val="32"/>
          <w:highlight w:val="none"/>
        </w:rPr>
        <w:t>，财务公开，均可申报高区普惠性民办幼儿园。</w:t>
      </w:r>
      <w:r>
        <w:rPr>
          <w:rFonts w:hint="eastAsia" w:ascii="仿宋_GB2312" w:hAnsi="仿宋_GB2312" w:eastAsia="仿宋_GB2312" w:cs="仿宋_GB2312"/>
          <w:color w:val="auto"/>
          <w:sz w:val="32"/>
          <w:szCs w:val="32"/>
          <w:lang w:eastAsia="zh-CN"/>
        </w:rPr>
        <w:t>未纳入机构编制的公办幼儿园参照此办法执行。</w:t>
      </w:r>
    </w:p>
    <w:p w14:paraId="03C9DA86">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eastAsia="zh-CN"/>
        </w:rPr>
      </w:pPr>
    </w:p>
    <w:p w14:paraId="444021E4">
      <w:pPr>
        <w:spacing w:before="133" w:line="207" w:lineRule="auto"/>
        <w:jc w:val="center"/>
        <w:rPr>
          <w:rFonts w:hint="eastAsia" w:ascii="黑体" w:hAnsi="黑体" w:eastAsia="黑体" w:cs="黑体"/>
          <w:spacing w:val="5"/>
          <w:sz w:val="32"/>
          <w:szCs w:val="32"/>
        </w:rPr>
      </w:pPr>
      <w:r>
        <w:rPr>
          <w:rFonts w:hint="eastAsia" w:ascii="黑体" w:hAnsi="黑体" w:eastAsia="黑体" w:cs="黑体"/>
          <w:spacing w:val="5"/>
          <w:sz w:val="32"/>
          <w:szCs w:val="32"/>
        </w:rPr>
        <w:t>第三章</w:t>
      </w:r>
      <w:r>
        <w:rPr>
          <w:rFonts w:hint="eastAsia" w:ascii="黑体" w:hAnsi="黑体" w:eastAsia="黑体" w:cs="黑体"/>
          <w:spacing w:val="21"/>
          <w:sz w:val="32"/>
          <w:szCs w:val="32"/>
        </w:rPr>
        <w:t xml:space="preserve">   </w:t>
      </w:r>
      <w:r>
        <w:rPr>
          <w:rFonts w:hint="eastAsia" w:ascii="黑体" w:hAnsi="黑体" w:eastAsia="黑体" w:cs="黑体"/>
          <w:spacing w:val="5"/>
          <w:sz w:val="32"/>
          <w:szCs w:val="32"/>
        </w:rPr>
        <w:t>基本条件</w:t>
      </w:r>
    </w:p>
    <w:p w14:paraId="376E0777">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eastAsia="zh-CN"/>
        </w:rPr>
      </w:pPr>
    </w:p>
    <w:p w14:paraId="4D3DECCA">
      <w:pPr>
        <w:keepNext w:val="0"/>
        <w:keepLines w:val="0"/>
        <w:pageBreakBefore w:val="0"/>
        <w:kinsoku/>
        <w:wordWrap/>
        <w:overflowPunct/>
        <w:topLinePunct w:val="0"/>
        <w:autoSpaceDE/>
        <w:autoSpaceDN/>
        <w:bidi w:val="0"/>
        <w:adjustRightInd/>
        <w:snapToGrid/>
        <w:spacing w:line="560" w:lineRule="exact"/>
        <w:ind w:firstLine="636" w:firstLineChars="200"/>
        <w:textAlignment w:val="auto"/>
        <w:rPr>
          <w:rFonts w:eastAsia="仿宋_GB2312"/>
          <w:color w:val="auto"/>
          <w:sz w:val="32"/>
          <w:szCs w:val="32"/>
          <w:highlight w:val="none"/>
        </w:rPr>
      </w:pPr>
      <w:r>
        <w:rPr>
          <w:rFonts w:ascii="黑体" w:hAnsi="黑体" w:eastAsia="黑体" w:cs="黑体"/>
          <w:spacing w:val="6"/>
          <w:sz w:val="31"/>
          <w:szCs w:val="31"/>
        </w:rPr>
        <w:t>第三条</w:t>
      </w:r>
      <w:r>
        <w:rPr>
          <w:rFonts w:ascii="黑体" w:hAnsi="黑体" w:eastAsia="黑体" w:cs="黑体"/>
          <w:spacing w:val="3"/>
          <w:sz w:val="31"/>
          <w:szCs w:val="31"/>
        </w:rPr>
        <w:t xml:space="preserve">  </w:t>
      </w:r>
      <w:r>
        <w:rPr>
          <w:rFonts w:hint="eastAsia" w:eastAsia="仿宋_GB2312"/>
          <w:color w:val="auto"/>
          <w:sz w:val="32"/>
          <w:szCs w:val="32"/>
          <w:highlight w:val="none"/>
        </w:rPr>
        <w:t>申报普惠性民办幼儿园</w:t>
      </w:r>
      <w:r>
        <w:rPr>
          <w:rFonts w:hint="eastAsia" w:eastAsia="仿宋_GB2312"/>
          <w:color w:val="auto"/>
          <w:sz w:val="32"/>
          <w:szCs w:val="32"/>
          <w:highlight w:val="none"/>
          <w:lang w:eastAsia="zh-CN"/>
        </w:rPr>
        <w:t>须同时</w:t>
      </w:r>
      <w:r>
        <w:rPr>
          <w:rFonts w:hint="eastAsia" w:eastAsia="仿宋_GB2312"/>
          <w:color w:val="auto"/>
          <w:sz w:val="32"/>
          <w:szCs w:val="32"/>
          <w:highlight w:val="none"/>
        </w:rPr>
        <w:t>具备以下条件：</w:t>
      </w:r>
    </w:p>
    <w:p w14:paraId="5BB1F0A6">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rPr>
      </w:pPr>
      <w:r>
        <w:rPr>
          <w:rFonts w:hint="eastAsia" w:cs="Times New Roman"/>
          <w:color w:val="auto"/>
          <w:sz w:val="32"/>
          <w:szCs w:val="32"/>
          <w:highlight w:val="none"/>
          <w:lang w:val="en-US" w:eastAsia="zh-CN"/>
        </w:rPr>
        <w:t>（一）</w:t>
      </w:r>
      <w:r>
        <w:rPr>
          <w:rFonts w:hint="eastAsia" w:ascii="Times New Roman" w:hAnsi="Times New Roman" w:eastAsia="仿宋_GB2312" w:cs="Times New Roman"/>
          <w:color w:val="auto"/>
          <w:sz w:val="32"/>
          <w:szCs w:val="32"/>
          <w:highlight w:val="none"/>
          <w:lang w:val="en-US" w:eastAsia="zh-CN"/>
        </w:rPr>
        <w:t>在高</w:t>
      </w:r>
      <w:r>
        <w:rPr>
          <w:rFonts w:hint="eastAsia" w:ascii="仿宋_GB2312" w:hAnsi="仿宋_GB2312" w:eastAsia="仿宋_GB2312" w:cs="仿宋_GB2312"/>
          <w:color w:val="auto"/>
          <w:sz w:val="32"/>
          <w:szCs w:val="32"/>
          <w:highlight w:val="none"/>
        </w:rPr>
        <w:t>区行政审批服务局</w:t>
      </w:r>
      <w:r>
        <w:rPr>
          <w:rFonts w:hint="eastAsia" w:ascii="仿宋_GB2312" w:hAnsi="仿宋_GB2312" w:eastAsia="仿宋_GB2312" w:cs="仿宋_GB2312"/>
          <w:color w:val="auto"/>
          <w:sz w:val="32"/>
          <w:szCs w:val="32"/>
          <w:lang w:eastAsia="zh-CN"/>
        </w:rPr>
        <w:t>审批注册</w:t>
      </w:r>
      <w:r>
        <w:rPr>
          <w:rFonts w:hint="eastAsia" w:ascii="仿宋_GB2312" w:hAnsi="仿宋_GB2312" w:eastAsia="仿宋_GB2312" w:cs="仿宋_GB2312"/>
          <w:color w:val="auto"/>
          <w:sz w:val="32"/>
          <w:szCs w:val="32"/>
          <w:highlight w:val="none"/>
        </w:rPr>
        <w:t>，取得《中华人民共和国民办学校办学许可证》《民办非企业单位登记证书》，依法依规办园且年检合格。</w:t>
      </w:r>
    </w:p>
    <w:p w14:paraId="71BF184E">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lang w:val="en-US"/>
        </w:rPr>
      </w:pPr>
      <w:r>
        <w:rPr>
          <w:rFonts w:hint="eastAsia" w:cs="Times New Roman"/>
          <w:color w:val="auto"/>
          <w:sz w:val="32"/>
          <w:szCs w:val="32"/>
          <w:highlight w:val="none"/>
          <w:lang w:val="en-US" w:eastAsia="zh-CN"/>
        </w:rPr>
        <w:t>（二）</w:t>
      </w:r>
      <w:r>
        <w:rPr>
          <w:rFonts w:hint="eastAsia" w:ascii="仿宋_GB2312" w:hAnsi="仿宋_GB2312" w:eastAsia="仿宋_GB2312" w:cs="仿宋_GB2312"/>
          <w:color w:val="auto"/>
          <w:sz w:val="32"/>
          <w:szCs w:val="32"/>
          <w:highlight w:val="none"/>
          <w:lang w:val="en-US"/>
        </w:rPr>
        <w:t>办园条件达到</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rPr>
        <w:t>山东省幼儿园基本办园条件标准</w:t>
      </w:r>
      <w:r>
        <w:rPr>
          <w:rFonts w:hint="eastAsia" w:ascii="仿宋_GB2312" w:hAnsi="仿宋_GB2312" w:eastAsia="仿宋_GB2312" w:cs="仿宋_GB2312"/>
          <w:color w:val="auto"/>
          <w:sz w:val="32"/>
          <w:szCs w:val="32"/>
          <w:highlight w:val="none"/>
          <w:lang w:val="en-US" w:eastAsia="zh-CN"/>
        </w:rPr>
        <w:t>》《山东省幼儿园分类认定标准》及《山东省幼儿园分类认定评估细则》要求，</w:t>
      </w:r>
      <w:r>
        <w:rPr>
          <w:rFonts w:hint="eastAsia" w:ascii="仿宋_GB2312" w:hAnsi="仿宋_GB2312" w:eastAsia="仿宋_GB2312" w:cs="仿宋_GB2312"/>
          <w:color w:val="auto"/>
          <w:sz w:val="32"/>
          <w:szCs w:val="32"/>
          <w:highlight w:val="none"/>
          <w:lang w:val="en-US"/>
        </w:rPr>
        <w:t>原则上达到</w:t>
      </w:r>
      <w:r>
        <w:rPr>
          <w:rFonts w:hint="eastAsia" w:ascii="仿宋_GB2312" w:hAnsi="仿宋_GB2312" w:eastAsia="仿宋_GB2312" w:cs="仿宋_GB2312"/>
          <w:color w:val="auto"/>
          <w:sz w:val="32"/>
          <w:szCs w:val="32"/>
          <w:highlight w:val="none"/>
          <w:lang w:val="en-US" w:eastAsia="zh-CN"/>
        </w:rPr>
        <w:t>省级二</w:t>
      </w:r>
      <w:r>
        <w:rPr>
          <w:rFonts w:hint="eastAsia" w:ascii="仿宋_GB2312" w:hAnsi="仿宋_GB2312" w:eastAsia="仿宋_GB2312" w:cs="仿宋_GB2312"/>
          <w:color w:val="auto"/>
          <w:sz w:val="32"/>
          <w:szCs w:val="32"/>
          <w:highlight w:val="none"/>
          <w:lang w:val="en-US"/>
        </w:rPr>
        <w:t>类幼儿园及以上标准。</w:t>
      </w:r>
    </w:p>
    <w:p w14:paraId="02840E5D">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rPr>
      </w:pPr>
      <w:r>
        <w:rPr>
          <w:rFonts w:hint="eastAsia" w:cs="Times New Roman"/>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面向大众提供公益普惠的学前教育服务，社会信誉度好。</w:t>
      </w:r>
    </w:p>
    <w:p w14:paraId="79DFF479">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cs="Times New Roman"/>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val="en-US" w:eastAsia="zh-CN"/>
        </w:rPr>
        <w:t>执行国家和省、市区有关收费政策</w:t>
      </w:r>
      <w:r>
        <w:rPr>
          <w:rFonts w:hint="eastAsia" w:ascii="仿宋_GB2312" w:hAnsi="仿宋_GB2312" w:eastAsia="仿宋_GB2312" w:cs="仿宋_GB2312"/>
          <w:color w:val="auto"/>
          <w:sz w:val="32"/>
          <w:szCs w:val="32"/>
          <w:highlight w:val="none"/>
          <w:lang w:val="en-US"/>
        </w:rPr>
        <w:t>。</w:t>
      </w:r>
      <w:r>
        <w:rPr>
          <w:rFonts w:hint="eastAsia" w:ascii="仿宋_GB2312" w:hAnsi="仿宋_GB2312" w:eastAsia="仿宋_GB2312" w:cs="仿宋_GB2312"/>
          <w:color w:val="auto"/>
          <w:sz w:val="32"/>
          <w:szCs w:val="32"/>
          <w:highlight w:val="none"/>
        </w:rPr>
        <w:t>财务、会计和资产管理制度完善，管理规范，账目清晰</w:t>
      </w:r>
      <w:r>
        <w:rPr>
          <w:rFonts w:hint="eastAsia" w:ascii="仿宋_GB2312" w:hAnsi="仿宋_GB2312" w:eastAsia="仿宋_GB2312" w:cs="仿宋_GB2312"/>
          <w:color w:val="auto"/>
          <w:sz w:val="32"/>
          <w:szCs w:val="32"/>
          <w:highlight w:val="none"/>
          <w:lang w:eastAsia="zh-CN"/>
        </w:rPr>
        <w:t>，并接受有关部门的监督检查。</w:t>
      </w:r>
      <w:r>
        <w:rPr>
          <w:rFonts w:hint="eastAsia" w:ascii="仿宋_GB2312" w:hAnsi="仿宋_GB2312" w:eastAsia="仿宋_GB2312" w:cs="仿宋_GB2312"/>
          <w:color w:val="auto"/>
          <w:sz w:val="32"/>
          <w:szCs w:val="32"/>
          <w:highlight w:val="none"/>
        </w:rPr>
        <w:t>保教费</w:t>
      </w:r>
      <w:r>
        <w:rPr>
          <w:rFonts w:hint="eastAsia" w:ascii="仿宋_GB2312" w:hAnsi="仿宋_GB2312" w:eastAsia="仿宋_GB2312" w:cs="仿宋_GB2312"/>
          <w:color w:val="auto"/>
          <w:sz w:val="32"/>
          <w:szCs w:val="32"/>
          <w:highlight w:val="none"/>
          <w:lang w:eastAsia="zh-CN"/>
        </w:rPr>
        <w:t>收费标准严格按照我市普惠民办园收费政策执行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并按规定进行收费公示，</w:t>
      </w:r>
      <w:r>
        <w:rPr>
          <w:rFonts w:hint="eastAsia" w:ascii="仿宋_GB2312" w:hAnsi="仿宋_GB2312" w:eastAsia="仿宋_GB2312" w:cs="仿宋_GB2312"/>
          <w:color w:val="auto"/>
          <w:sz w:val="32"/>
          <w:szCs w:val="32"/>
          <w:highlight w:val="none"/>
        </w:rPr>
        <w:t>无乱收费现象</w:t>
      </w:r>
      <w:r>
        <w:rPr>
          <w:rFonts w:hint="eastAsia" w:ascii="仿宋_GB2312" w:hAnsi="仿宋_GB2312" w:eastAsia="仿宋_GB2312" w:cs="仿宋_GB2312"/>
          <w:color w:val="auto"/>
          <w:sz w:val="32"/>
          <w:szCs w:val="32"/>
          <w:highlight w:val="none"/>
          <w:lang w:eastAsia="zh-CN"/>
        </w:rPr>
        <w:t>。</w:t>
      </w:r>
    </w:p>
    <w:p w14:paraId="35DD16CB">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rPr>
      </w:pPr>
      <w:r>
        <w:rPr>
          <w:rFonts w:hint="eastAsia" w:cs="Times New Roman"/>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制定符合国家有关法律、法规的幼儿园章程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有健全的行政管理、安全卫生保健、教育教学等规章制度。</w:t>
      </w:r>
    </w:p>
    <w:p w14:paraId="4F0CD2C4">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rPr>
      </w:pPr>
      <w:r>
        <w:rPr>
          <w:rFonts w:hint="eastAsia" w:cs="Times New Roman"/>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教职工配备齐全，符合任职资格条件。与教职工签订劳动合同，依法保障教职工合法权益，落实工资待遇，</w:t>
      </w:r>
      <w:r>
        <w:rPr>
          <w:rFonts w:hint="eastAsia" w:ascii="仿宋_GB2312" w:hAnsi="仿宋_GB2312" w:eastAsia="仿宋_GB2312" w:cs="仿宋_GB2312"/>
          <w:color w:val="auto"/>
          <w:sz w:val="32"/>
          <w:szCs w:val="32"/>
          <w:highlight w:val="none"/>
          <w:lang w:eastAsia="zh-CN"/>
        </w:rPr>
        <w:t>依法依规足额足项为教职工缴纳“五险一金”。</w:t>
      </w:r>
    </w:p>
    <w:p w14:paraId="39FE9B05">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rPr>
      </w:pPr>
      <w:r>
        <w:rPr>
          <w:rFonts w:hint="eastAsia" w:cs="Times New Roman"/>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办园行为规范，遵循幼儿身心发展规律，实施科学保教，以游戏为基本活动形式，无“小学化”</w:t>
      </w:r>
      <w:r>
        <w:rPr>
          <w:rFonts w:hint="eastAsia" w:ascii="仿宋_GB2312" w:hAnsi="仿宋_GB2312" w:eastAsia="仿宋_GB2312" w:cs="仿宋_GB2312"/>
          <w:color w:val="auto"/>
          <w:sz w:val="32"/>
          <w:szCs w:val="32"/>
          <w:highlight w:val="none"/>
          <w:lang w:eastAsia="zh-CN"/>
        </w:rPr>
        <w:t>现象</w:t>
      </w:r>
      <w:r>
        <w:rPr>
          <w:rFonts w:hint="eastAsia" w:ascii="仿宋_GB2312" w:hAnsi="仿宋_GB2312" w:eastAsia="仿宋_GB2312" w:cs="仿宋_GB2312"/>
          <w:color w:val="auto"/>
          <w:sz w:val="32"/>
          <w:szCs w:val="32"/>
          <w:highlight w:val="none"/>
        </w:rPr>
        <w:t>。</w:t>
      </w:r>
    </w:p>
    <w:p w14:paraId="778DE548">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rPr>
      </w:pPr>
      <w:r>
        <w:rPr>
          <w:rFonts w:hint="eastAsia" w:cs="Times New Roman"/>
          <w:color w:val="auto"/>
          <w:sz w:val="32"/>
          <w:szCs w:val="32"/>
          <w:highlight w:val="none"/>
          <w:lang w:val="en-US" w:eastAsia="zh-CN"/>
        </w:rPr>
        <w:t>（八）</w:t>
      </w:r>
      <w:r>
        <w:rPr>
          <w:rFonts w:hint="eastAsia" w:ascii="仿宋_GB2312" w:hAnsi="仿宋_GB2312" w:eastAsia="仿宋_GB2312" w:cs="仿宋_GB2312"/>
          <w:color w:val="auto"/>
          <w:sz w:val="32"/>
          <w:szCs w:val="32"/>
          <w:highlight w:val="none"/>
        </w:rPr>
        <w:t>园务管理规范，“三防”建设到位，无安全隐患和违规办园行为，年度内无重大安全事故和重大师德师风问题发生。</w:t>
      </w:r>
    </w:p>
    <w:p w14:paraId="3311A98F">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rPr>
      </w:pPr>
    </w:p>
    <w:p w14:paraId="56DD5A7E">
      <w:pPr>
        <w:spacing w:before="133" w:line="207" w:lineRule="auto"/>
        <w:jc w:val="center"/>
        <w:rPr>
          <w:rFonts w:hint="eastAsia" w:ascii="黑体" w:hAnsi="黑体" w:eastAsia="黑体" w:cs="黑体"/>
          <w:spacing w:val="5"/>
          <w:sz w:val="32"/>
          <w:szCs w:val="32"/>
        </w:rPr>
      </w:pPr>
      <w:r>
        <w:rPr>
          <w:rFonts w:hint="eastAsia" w:ascii="黑体" w:hAnsi="黑体" w:eastAsia="黑体" w:cs="黑体"/>
          <w:spacing w:val="5"/>
          <w:sz w:val="32"/>
          <w:szCs w:val="32"/>
        </w:rPr>
        <w:t>第四章</w:t>
      </w:r>
      <w:r>
        <w:rPr>
          <w:rFonts w:hint="eastAsia" w:ascii="黑体" w:hAnsi="黑体" w:eastAsia="黑体" w:cs="黑体"/>
          <w:spacing w:val="21"/>
          <w:sz w:val="32"/>
          <w:szCs w:val="32"/>
        </w:rPr>
        <w:t xml:space="preserve">   </w:t>
      </w:r>
      <w:r>
        <w:rPr>
          <w:rFonts w:hint="eastAsia" w:ascii="黑体" w:hAnsi="黑体" w:eastAsia="黑体" w:cs="黑体"/>
          <w:spacing w:val="5"/>
          <w:sz w:val="32"/>
          <w:szCs w:val="32"/>
        </w:rPr>
        <w:t>认定程序</w:t>
      </w:r>
    </w:p>
    <w:p w14:paraId="7F1A7FC0">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rPr>
      </w:pPr>
    </w:p>
    <w:p w14:paraId="561A45F3">
      <w:pPr>
        <w:keepNext w:val="0"/>
        <w:keepLines w:val="0"/>
        <w:pageBreakBefore w:val="0"/>
        <w:kinsoku/>
        <w:wordWrap/>
        <w:overflowPunct/>
        <w:topLinePunct w:val="0"/>
        <w:autoSpaceDE/>
        <w:autoSpaceDN/>
        <w:bidi w:val="0"/>
        <w:adjustRightInd/>
        <w:snapToGrid/>
        <w:spacing w:line="560" w:lineRule="exact"/>
        <w:ind w:firstLine="624" w:firstLineChars="200"/>
        <w:textAlignment w:val="auto"/>
        <w:rPr>
          <w:rFonts w:eastAsia="仿宋_GB2312"/>
          <w:color w:val="auto"/>
          <w:sz w:val="32"/>
          <w:szCs w:val="32"/>
          <w:highlight w:val="none"/>
        </w:rPr>
      </w:pPr>
      <w:r>
        <w:rPr>
          <w:rFonts w:ascii="黑体" w:hAnsi="黑体" w:eastAsia="黑体" w:cs="黑体"/>
          <w:spacing w:val="3"/>
          <w:sz w:val="31"/>
          <w:szCs w:val="31"/>
        </w:rPr>
        <w:t xml:space="preserve">第四条  </w:t>
      </w:r>
      <w:r>
        <w:rPr>
          <w:rFonts w:hint="eastAsia" w:eastAsia="仿宋_GB2312"/>
          <w:color w:val="auto"/>
          <w:sz w:val="32"/>
          <w:szCs w:val="32"/>
          <w:highlight w:val="none"/>
        </w:rPr>
        <w:t>符合认定条件的民办幼儿园可向高区</w:t>
      </w:r>
      <w:r>
        <w:rPr>
          <w:rFonts w:hint="eastAsia" w:eastAsia="仿宋_GB2312"/>
          <w:color w:val="auto"/>
          <w:sz w:val="32"/>
          <w:szCs w:val="32"/>
          <w:highlight w:val="none"/>
          <w:lang w:eastAsia="zh-CN"/>
        </w:rPr>
        <w:t>社会事业局</w:t>
      </w:r>
      <w:r>
        <w:rPr>
          <w:rFonts w:hint="eastAsia" w:eastAsia="仿宋_GB2312"/>
          <w:color w:val="auto"/>
          <w:sz w:val="32"/>
          <w:szCs w:val="32"/>
          <w:highlight w:val="none"/>
        </w:rPr>
        <w:t>提出书面申请。由区</w:t>
      </w:r>
      <w:r>
        <w:rPr>
          <w:rFonts w:hint="eastAsia" w:eastAsia="仿宋_GB2312"/>
          <w:color w:val="auto"/>
          <w:sz w:val="32"/>
          <w:szCs w:val="32"/>
          <w:highlight w:val="none"/>
          <w:lang w:eastAsia="zh-CN"/>
        </w:rPr>
        <w:t>社会事业局</w:t>
      </w:r>
      <w:r>
        <w:rPr>
          <w:rFonts w:hint="eastAsia" w:eastAsia="仿宋_GB2312"/>
          <w:color w:val="auto"/>
          <w:sz w:val="32"/>
          <w:szCs w:val="32"/>
          <w:highlight w:val="none"/>
        </w:rPr>
        <w:t>、区财政金融局、区经济发展局等部门联合</w:t>
      </w:r>
      <w:r>
        <w:rPr>
          <w:rFonts w:hint="eastAsia" w:eastAsia="仿宋_GB2312"/>
          <w:color w:val="auto"/>
          <w:sz w:val="32"/>
          <w:szCs w:val="32"/>
          <w:highlight w:val="none"/>
          <w:lang w:eastAsia="zh-CN"/>
        </w:rPr>
        <w:t>认定</w:t>
      </w:r>
      <w:r>
        <w:rPr>
          <w:rFonts w:hint="eastAsia" w:eastAsia="仿宋_GB2312"/>
          <w:color w:val="auto"/>
          <w:sz w:val="32"/>
          <w:szCs w:val="32"/>
          <w:highlight w:val="none"/>
        </w:rPr>
        <w:t>。</w:t>
      </w:r>
    </w:p>
    <w:p w14:paraId="48FA5112">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eastAsia="仿宋_GB2312"/>
          <w:color w:val="auto"/>
          <w:sz w:val="32"/>
          <w:szCs w:val="32"/>
          <w:highlight w:val="none"/>
        </w:rPr>
      </w:pPr>
      <w:r>
        <w:rPr>
          <w:rFonts w:ascii="黑体" w:hAnsi="黑体" w:eastAsia="黑体" w:cs="黑体"/>
          <w:spacing w:val="-3"/>
          <w:sz w:val="31"/>
          <w:szCs w:val="31"/>
        </w:rPr>
        <w:t xml:space="preserve">第五条  </w:t>
      </w:r>
      <w:r>
        <w:rPr>
          <w:rFonts w:hint="eastAsia" w:eastAsia="仿宋_GB2312"/>
          <w:color w:val="auto"/>
          <w:sz w:val="32"/>
          <w:szCs w:val="32"/>
          <w:highlight w:val="none"/>
        </w:rPr>
        <w:t>区</w:t>
      </w:r>
      <w:r>
        <w:rPr>
          <w:rFonts w:hint="eastAsia" w:eastAsia="仿宋_GB2312"/>
          <w:color w:val="auto"/>
          <w:sz w:val="32"/>
          <w:szCs w:val="32"/>
          <w:highlight w:val="none"/>
          <w:lang w:eastAsia="zh-CN"/>
        </w:rPr>
        <w:t>社会事业局</w:t>
      </w:r>
      <w:r>
        <w:rPr>
          <w:rFonts w:hint="eastAsia" w:eastAsia="仿宋_GB2312"/>
          <w:color w:val="auto"/>
          <w:sz w:val="32"/>
          <w:szCs w:val="32"/>
          <w:highlight w:val="none"/>
        </w:rPr>
        <w:t>、区财政金融局、区经济发展局</w:t>
      </w:r>
      <w:r>
        <w:rPr>
          <w:rFonts w:hint="eastAsia" w:eastAsia="仿宋_GB2312"/>
          <w:color w:val="auto"/>
          <w:sz w:val="32"/>
          <w:szCs w:val="32"/>
          <w:highlight w:val="none"/>
          <w:lang w:eastAsia="zh-CN"/>
        </w:rPr>
        <w:t>等部门</w:t>
      </w:r>
      <w:r>
        <w:rPr>
          <w:rFonts w:hint="eastAsia" w:eastAsia="仿宋_GB2312"/>
          <w:color w:val="auto"/>
          <w:sz w:val="32"/>
          <w:szCs w:val="32"/>
          <w:highlight w:val="none"/>
        </w:rPr>
        <w:t>联合公示认定的普惠性民办幼儿园名单，接受社会监督。</w:t>
      </w:r>
    </w:p>
    <w:p w14:paraId="4604F88E">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eastAsia="仿宋_GB2312"/>
          <w:color w:val="0000FF"/>
          <w:sz w:val="32"/>
          <w:szCs w:val="32"/>
          <w:highlight w:val="none"/>
        </w:rPr>
      </w:pPr>
      <w:r>
        <w:rPr>
          <w:rFonts w:ascii="黑体" w:hAnsi="黑体" w:eastAsia="黑体" w:cs="黑体"/>
          <w:spacing w:val="5"/>
          <w:sz w:val="31"/>
          <w:szCs w:val="31"/>
        </w:rPr>
        <w:t xml:space="preserve">第六条  </w:t>
      </w:r>
      <w:r>
        <w:rPr>
          <w:rFonts w:hint="eastAsia"/>
          <w:color w:val="auto"/>
          <w:sz w:val="32"/>
          <w:szCs w:val="32"/>
          <w:highlight w:val="none"/>
          <w:lang w:eastAsia="zh-CN"/>
        </w:rPr>
        <w:t>经认定的普惠性民办幼儿园</w:t>
      </w:r>
      <w:r>
        <w:rPr>
          <w:rFonts w:hint="eastAsia" w:eastAsia="仿宋_GB2312"/>
          <w:color w:val="auto"/>
          <w:sz w:val="32"/>
          <w:szCs w:val="32"/>
          <w:highlight w:val="none"/>
        </w:rPr>
        <w:t>服务期为三年，服务期满后需要重新申请认定。</w:t>
      </w:r>
    </w:p>
    <w:p w14:paraId="47C03155">
      <w:pPr>
        <w:keepNext w:val="0"/>
        <w:keepLines w:val="0"/>
        <w:pageBreakBefore w:val="0"/>
        <w:kinsoku/>
        <w:wordWrap/>
        <w:overflowPunct/>
        <w:topLinePunct w:val="0"/>
        <w:autoSpaceDE/>
        <w:autoSpaceDN/>
        <w:bidi w:val="0"/>
        <w:adjustRightInd/>
        <w:snapToGrid/>
        <w:spacing w:line="560" w:lineRule="exact"/>
        <w:ind w:firstLine="680" w:firstLineChars="200"/>
        <w:textAlignment w:val="auto"/>
        <w:rPr>
          <w:rFonts w:eastAsia="仿宋_GB2312"/>
          <w:color w:val="auto"/>
          <w:sz w:val="32"/>
          <w:szCs w:val="32"/>
          <w:highlight w:val="none"/>
        </w:rPr>
      </w:pPr>
      <w:r>
        <w:rPr>
          <w:rFonts w:ascii="黑体" w:hAnsi="黑体" w:eastAsia="黑体" w:cs="黑体"/>
          <w:spacing w:val="17"/>
          <w:sz w:val="31"/>
          <w:szCs w:val="31"/>
        </w:rPr>
        <w:t xml:space="preserve">第七条  </w:t>
      </w:r>
      <w:r>
        <w:rPr>
          <w:rFonts w:hint="eastAsia" w:eastAsia="仿宋_GB2312"/>
          <w:color w:val="auto"/>
          <w:sz w:val="32"/>
          <w:szCs w:val="32"/>
          <w:highlight w:val="none"/>
        </w:rPr>
        <w:t>城镇居住区内的配套幼儿园举办为普惠性民办幼儿园，不设服务期限。</w:t>
      </w:r>
    </w:p>
    <w:p w14:paraId="09C57045">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rPr>
      </w:pPr>
      <w:r>
        <w:rPr>
          <w:rFonts w:ascii="黑体" w:hAnsi="黑体" w:eastAsia="黑体" w:cs="黑体"/>
          <w:spacing w:val="5"/>
          <w:sz w:val="31"/>
          <w:szCs w:val="31"/>
        </w:rPr>
        <w:t xml:space="preserve">第八条  </w:t>
      </w:r>
      <w:r>
        <w:rPr>
          <w:rFonts w:hint="eastAsia" w:eastAsia="仿宋_GB2312"/>
          <w:color w:val="auto"/>
          <w:sz w:val="32"/>
          <w:szCs w:val="32"/>
          <w:highlight w:val="none"/>
        </w:rPr>
        <w:t>被认定的普惠性民办幼儿园，应在幼儿园收费公示栏中注明为普惠性民办幼儿园。</w:t>
      </w:r>
    </w:p>
    <w:p w14:paraId="5F4A759D">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rPr>
      </w:pPr>
    </w:p>
    <w:p w14:paraId="41D09FC9">
      <w:pPr>
        <w:spacing w:before="133" w:line="207" w:lineRule="auto"/>
        <w:jc w:val="center"/>
        <w:rPr>
          <w:rFonts w:hint="eastAsia" w:ascii="黑体" w:hAnsi="黑体" w:eastAsia="黑体" w:cs="黑体"/>
          <w:spacing w:val="5"/>
          <w:sz w:val="32"/>
          <w:szCs w:val="32"/>
        </w:rPr>
      </w:pPr>
      <w:r>
        <w:rPr>
          <w:rFonts w:hint="eastAsia" w:ascii="黑体" w:hAnsi="黑体" w:eastAsia="黑体" w:cs="黑体"/>
          <w:spacing w:val="5"/>
          <w:sz w:val="32"/>
          <w:szCs w:val="32"/>
        </w:rPr>
        <w:t>第五章</w:t>
      </w:r>
      <w:r>
        <w:rPr>
          <w:rFonts w:hint="eastAsia" w:ascii="黑体" w:hAnsi="黑体" w:eastAsia="黑体" w:cs="黑体"/>
          <w:spacing w:val="21"/>
          <w:sz w:val="32"/>
          <w:szCs w:val="32"/>
        </w:rPr>
        <w:t xml:space="preserve">   </w:t>
      </w:r>
      <w:r>
        <w:rPr>
          <w:rFonts w:hint="eastAsia" w:ascii="黑体" w:hAnsi="黑体" w:eastAsia="黑体" w:cs="黑体"/>
          <w:spacing w:val="5"/>
          <w:sz w:val="32"/>
          <w:szCs w:val="32"/>
        </w:rPr>
        <w:t>政策保障</w:t>
      </w:r>
    </w:p>
    <w:p w14:paraId="5A65848A">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rPr>
      </w:pPr>
    </w:p>
    <w:p w14:paraId="037205CA">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eastAsia="仿宋_GB2312"/>
          <w:color w:val="auto"/>
          <w:sz w:val="32"/>
          <w:szCs w:val="32"/>
          <w:highlight w:val="none"/>
        </w:rPr>
      </w:pPr>
      <w:r>
        <w:rPr>
          <w:rFonts w:ascii="黑体" w:hAnsi="黑体" w:eastAsia="黑体" w:cs="黑体"/>
          <w:spacing w:val="5"/>
          <w:sz w:val="31"/>
          <w:szCs w:val="31"/>
        </w:rPr>
        <w:t xml:space="preserve">第九条  </w:t>
      </w:r>
      <w:r>
        <w:rPr>
          <w:rFonts w:hint="eastAsia" w:eastAsia="仿宋_GB2312"/>
          <w:color w:val="auto"/>
          <w:sz w:val="32"/>
          <w:szCs w:val="32"/>
          <w:highlight w:val="none"/>
        </w:rPr>
        <w:t>经认定为普惠性民办幼儿园的，享受下列奖励</w:t>
      </w:r>
      <w:r>
        <w:rPr>
          <w:rFonts w:hint="eastAsia" w:eastAsia="仿宋_GB2312"/>
          <w:color w:val="auto"/>
          <w:sz w:val="32"/>
          <w:szCs w:val="32"/>
          <w:highlight w:val="none"/>
          <w:lang w:eastAsia="zh-CN"/>
        </w:rPr>
        <w:t>扶持</w:t>
      </w:r>
      <w:r>
        <w:rPr>
          <w:rFonts w:hint="eastAsia" w:eastAsia="仿宋_GB2312"/>
          <w:color w:val="auto"/>
          <w:sz w:val="32"/>
          <w:szCs w:val="32"/>
          <w:highlight w:val="none"/>
        </w:rPr>
        <w:t>政策。</w:t>
      </w:r>
    </w:p>
    <w:p w14:paraId="4854D8FE">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（一）生均公用经费补助。</w:t>
      </w:r>
      <w:r>
        <w:rPr>
          <w:rFonts w:hint="eastAsia" w:ascii="仿宋_GB2312" w:hAnsi="仿宋_GB2312" w:eastAsia="仿宋_GB2312" w:cs="仿宋_GB2312"/>
          <w:color w:val="auto"/>
          <w:sz w:val="32"/>
          <w:szCs w:val="32"/>
          <w:highlight w:val="none"/>
          <w:lang w:val="en-US" w:eastAsia="zh-CN"/>
        </w:rPr>
        <w:t>按照班级规模进行生均公用经费补助</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少于班级规模数的按照在园幼儿实数进行补助</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标准为</w:t>
      </w:r>
      <w:r>
        <w:rPr>
          <w:rFonts w:hint="eastAsia" w:ascii="仿宋_GB2312" w:hAnsi="仿宋_GB2312" w:cs="仿宋_GB2312"/>
          <w:color w:val="auto"/>
          <w:sz w:val="32"/>
          <w:szCs w:val="32"/>
          <w:highlight w:val="none"/>
          <w:lang w:val="en-US" w:eastAsia="zh-CN"/>
        </w:rPr>
        <w:t>省级一类及以下的幼儿园</w:t>
      </w:r>
      <w:r>
        <w:rPr>
          <w:rFonts w:hint="eastAsia" w:ascii="仿宋_GB2312" w:hAnsi="仿宋_GB2312" w:eastAsia="仿宋_GB2312" w:cs="仿宋_GB2312"/>
          <w:color w:val="auto"/>
          <w:sz w:val="32"/>
          <w:szCs w:val="32"/>
          <w:highlight w:val="none"/>
          <w:lang w:val="en-US" w:eastAsia="zh-CN"/>
        </w:rPr>
        <w:t>810元/生·年，获得省级示范幼儿园荣誉的，生均补助每生每年增加100元，即 910元/生·年。</w:t>
      </w:r>
    </w:p>
    <w:p w14:paraId="4FB8BBFC">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（二）家庭经济困难学生资助。对普惠性民办幼儿园中家庭经济困难儿童、孤儿等，按照相关政策落实资助。</w:t>
      </w:r>
    </w:p>
    <w:p w14:paraId="1E3AA3CC">
      <w:pPr>
        <w:keepNext w:val="0"/>
        <w:keepLines w:val="0"/>
        <w:pageBreakBefore w:val="0"/>
        <w:widowControl w:val="0"/>
        <w:kinsoku/>
        <w:wordWrap/>
        <w:overflowPunct/>
        <w:topLinePunct w:val="0"/>
        <w:autoSpaceDE/>
        <w:autoSpaceDN/>
        <w:bidi w:val="0"/>
        <w:adjustRightInd/>
        <w:snapToGrid/>
        <w:spacing w:before="0" w:after="0" w:line="576" w:lineRule="exact"/>
        <w:ind w:left="0" w:right="0" w:firstLine="632" w:firstLineChars="200"/>
        <w:jc w:val="both"/>
        <w:textAlignment w:val="auto"/>
        <w:rPr>
          <w:rFonts w:hint="default" w:ascii="Times New Roman" w:hAnsi="Times New Roman" w:cs="Times New Roman"/>
          <w:color w:val="000000"/>
          <w:kern w:val="0"/>
          <w:sz w:val="32"/>
          <w:szCs w:val="32"/>
          <w:u w:val="none"/>
          <w:lang w:val="en-US" w:bidi="ar-SA"/>
        </w:rPr>
      </w:pPr>
      <w:r>
        <w:rPr>
          <w:rFonts w:hint="eastAsia" w:ascii="Times New Roman" w:hAnsi="Times New Roman" w:cs="Times New Roman"/>
          <w:color w:val="000000"/>
          <w:kern w:val="0"/>
          <w:sz w:val="32"/>
          <w:szCs w:val="32"/>
          <w:u w:val="none"/>
          <w:lang w:val="en-US" w:eastAsia="zh-CN" w:bidi="ar-SA"/>
        </w:rPr>
        <w:t>（</w:t>
      </w:r>
      <w:r>
        <w:rPr>
          <w:rFonts w:hint="eastAsia" w:cs="Times New Roman"/>
          <w:color w:val="000000"/>
          <w:kern w:val="0"/>
          <w:sz w:val="32"/>
          <w:szCs w:val="32"/>
          <w:u w:val="none"/>
          <w:lang w:val="en-US" w:eastAsia="zh-CN" w:bidi="ar-SA"/>
        </w:rPr>
        <w:t>三</w:t>
      </w:r>
      <w:r>
        <w:rPr>
          <w:rFonts w:hint="eastAsia" w:ascii="Times New Roman" w:hAnsi="Times New Roman" w:cs="Times New Roman"/>
          <w:color w:val="000000"/>
          <w:kern w:val="0"/>
          <w:sz w:val="32"/>
          <w:szCs w:val="32"/>
          <w:u w:val="none"/>
          <w:lang w:val="en-US" w:eastAsia="zh-CN" w:bidi="ar-SA"/>
        </w:rPr>
        <w:t>）业务</w:t>
      </w:r>
      <w:r>
        <w:rPr>
          <w:rFonts w:hint="default" w:ascii="Times New Roman" w:hAnsi="Times New Roman" w:cs="Times New Roman"/>
          <w:color w:val="000000"/>
          <w:kern w:val="0"/>
          <w:sz w:val="32"/>
          <w:szCs w:val="32"/>
          <w:u w:val="none"/>
          <w:lang w:val="en-US" w:bidi="ar-SA"/>
        </w:rPr>
        <w:t>扶持。教育部门加强对普惠性民办幼儿园保育教育工作指导，完善</w:t>
      </w:r>
      <w:r>
        <w:rPr>
          <w:rFonts w:hint="default" w:ascii="Times New Roman" w:hAnsi="Times New Roman" w:cs="Times New Roman"/>
          <w:color w:val="000000"/>
          <w:kern w:val="0"/>
          <w:sz w:val="32"/>
          <w:szCs w:val="32"/>
          <w:u w:val="none"/>
          <w:lang w:bidi="ar-SA"/>
        </w:rPr>
        <w:t>教师</w:t>
      </w:r>
      <w:r>
        <w:rPr>
          <w:rFonts w:hint="default" w:ascii="Times New Roman" w:hAnsi="Times New Roman" w:cs="Times New Roman"/>
          <w:color w:val="000000"/>
          <w:kern w:val="0"/>
          <w:sz w:val="32"/>
          <w:szCs w:val="32"/>
          <w:u w:val="none"/>
          <w:lang w:val="en-US" w:bidi="ar-SA"/>
        </w:rPr>
        <w:t>培训网络，将普惠性民办幼儿园教师一并纳入师资培训体系。</w:t>
      </w:r>
    </w:p>
    <w:p w14:paraId="5DF80075">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p>
    <w:p w14:paraId="2CD76814">
      <w:pPr>
        <w:spacing w:before="133" w:line="207" w:lineRule="auto"/>
        <w:jc w:val="center"/>
        <w:rPr>
          <w:rFonts w:hint="eastAsia" w:ascii="黑体" w:hAnsi="黑体" w:eastAsia="黑体" w:cs="黑体"/>
          <w:spacing w:val="5"/>
          <w:sz w:val="32"/>
          <w:szCs w:val="32"/>
        </w:rPr>
      </w:pPr>
      <w:r>
        <w:rPr>
          <w:rFonts w:hint="eastAsia" w:ascii="黑体" w:hAnsi="黑体" w:eastAsia="黑体" w:cs="黑体"/>
          <w:spacing w:val="5"/>
          <w:sz w:val="32"/>
          <w:szCs w:val="32"/>
        </w:rPr>
        <w:t>第六章</w:t>
      </w:r>
      <w:r>
        <w:rPr>
          <w:rFonts w:hint="eastAsia" w:ascii="黑体" w:hAnsi="黑体" w:eastAsia="黑体" w:cs="黑体"/>
          <w:spacing w:val="21"/>
          <w:sz w:val="32"/>
          <w:szCs w:val="32"/>
        </w:rPr>
        <w:t xml:space="preserve">   </w:t>
      </w:r>
      <w:r>
        <w:rPr>
          <w:rFonts w:hint="eastAsia" w:ascii="黑体" w:hAnsi="黑体" w:eastAsia="黑体" w:cs="黑体"/>
          <w:spacing w:val="5"/>
          <w:sz w:val="32"/>
          <w:szCs w:val="32"/>
        </w:rPr>
        <w:t>监督管理</w:t>
      </w:r>
    </w:p>
    <w:p w14:paraId="171AD0BA">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color w:val="auto"/>
          <w:sz w:val="32"/>
          <w:szCs w:val="32"/>
          <w:highlight w:val="none"/>
          <w:lang w:val="en-US" w:eastAsia="zh-CN"/>
        </w:rPr>
      </w:pPr>
    </w:p>
    <w:p w14:paraId="36979AAB">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jc w:val="both"/>
        <w:textAlignment w:val="auto"/>
        <w:rPr>
          <w:rFonts w:hint="eastAsia" w:eastAsia="仿宋_GB2312" w:cs="Times New Roman"/>
          <w:color w:val="auto"/>
          <w:sz w:val="32"/>
          <w:szCs w:val="32"/>
          <w:highlight w:val="none"/>
        </w:rPr>
      </w:pPr>
      <w:r>
        <w:rPr>
          <w:rFonts w:ascii="黑体" w:hAnsi="黑体" w:eastAsia="黑体" w:cs="黑体"/>
          <w:spacing w:val="5"/>
          <w:sz w:val="31"/>
          <w:szCs w:val="31"/>
        </w:rPr>
        <w:t xml:space="preserve">第十条  </w:t>
      </w:r>
      <w:r>
        <w:rPr>
          <w:rFonts w:hint="eastAsia" w:eastAsia="仿宋_GB2312" w:cs="Times New Roman"/>
          <w:color w:val="auto"/>
          <w:sz w:val="32"/>
          <w:szCs w:val="32"/>
          <w:highlight w:val="none"/>
          <w:lang w:val="en-US"/>
        </w:rPr>
        <w:t>普惠性民办幼儿园</w:t>
      </w:r>
      <w:r>
        <w:rPr>
          <w:rFonts w:hint="eastAsia" w:eastAsia="仿宋_GB2312" w:cs="Times New Roman"/>
          <w:color w:val="auto"/>
          <w:sz w:val="32"/>
          <w:szCs w:val="32"/>
          <w:highlight w:val="none"/>
          <w:lang w:val="en-US" w:eastAsia="zh-CN"/>
        </w:rPr>
        <w:t>严格执行国家和省、市</w:t>
      </w:r>
      <w:r>
        <w:rPr>
          <w:rFonts w:hint="eastAsia" w:cs="Times New Roman"/>
          <w:color w:val="auto"/>
          <w:sz w:val="32"/>
          <w:szCs w:val="32"/>
          <w:highlight w:val="none"/>
          <w:lang w:val="en-US" w:eastAsia="zh-CN"/>
        </w:rPr>
        <w:t>、</w:t>
      </w:r>
      <w:r>
        <w:rPr>
          <w:rFonts w:hint="eastAsia" w:eastAsia="仿宋_GB2312" w:cs="Times New Roman"/>
          <w:color w:val="auto"/>
          <w:sz w:val="32"/>
          <w:szCs w:val="32"/>
          <w:highlight w:val="none"/>
          <w:lang w:val="en-US" w:eastAsia="zh-CN"/>
        </w:rPr>
        <w:t>区各级有关收费政策，</w:t>
      </w:r>
      <w:r>
        <w:rPr>
          <w:rFonts w:hint="eastAsia" w:eastAsia="仿宋_GB2312" w:cs="Times New Roman"/>
          <w:color w:val="auto"/>
          <w:sz w:val="32"/>
          <w:szCs w:val="32"/>
          <w:highlight w:val="none"/>
          <w:lang w:val="en-US"/>
        </w:rPr>
        <w:t>收费标准报</w:t>
      </w:r>
      <w:r>
        <w:rPr>
          <w:rFonts w:hint="eastAsia" w:eastAsia="仿宋_GB2312" w:cs="Times New Roman"/>
          <w:color w:val="auto"/>
          <w:sz w:val="32"/>
          <w:szCs w:val="32"/>
          <w:highlight w:val="none"/>
          <w:lang w:val="en-US" w:eastAsia="zh-CN"/>
        </w:rPr>
        <w:t>区经济发展局</w:t>
      </w:r>
      <w:r>
        <w:rPr>
          <w:rFonts w:hint="eastAsia" w:eastAsia="仿宋_GB2312" w:cs="Times New Roman"/>
          <w:color w:val="auto"/>
          <w:sz w:val="32"/>
          <w:szCs w:val="32"/>
          <w:highlight w:val="none"/>
          <w:lang w:val="en-US"/>
        </w:rPr>
        <w:t>和</w:t>
      </w:r>
      <w:r>
        <w:rPr>
          <w:rFonts w:hint="eastAsia" w:eastAsia="仿宋_GB2312" w:cs="Times New Roman"/>
          <w:color w:val="auto"/>
          <w:sz w:val="32"/>
          <w:szCs w:val="32"/>
          <w:highlight w:val="none"/>
          <w:lang w:val="en-US" w:eastAsia="zh-CN"/>
        </w:rPr>
        <w:t>社会事业局</w:t>
      </w:r>
      <w:r>
        <w:rPr>
          <w:rFonts w:hint="eastAsia" w:cs="Times New Roman"/>
          <w:color w:val="auto"/>
          <w:sz w:val="32"/>
          <w:szCs w:val="32"/>
          <w:highlight w:val="none"/>
          <w:lang w:val="en-US" w:eastAsia="zh-CN"/>
        </w:rPr>
        <w:t>，</w:t>
      </w:r>
      <w:r>
        <w:rPr>
          <w:rFonts w:hint="eastAsia" w:eastAsia="仿宋_GB2312" w:cs="Times New Roman"/>
          <w:color w:val="auto"/>
          <w:sz w:val="32"/>
          <w:szCs w:val="32"/>
          <w:highlight w:val="none"/>
          <w:lang w:val="en-US"/>
        </w:rPr>
        <w:t>并按照相关规定公示后执行</w:t>
      </w:r>
      <w:r>
        <w:rPr>
          <w:rFonts w:hint="eastAsia" w:eastAsia="仿宋_GB2312" w:cs="Times New Roman"/>
          <w:color w:val="auto"/>
          <w:sz w:val="32"/>
          <w:szCs w:val="32"/>
          <w:highlight w:val="none"/>
          <w:lang w:val="en-US" w:eastAsia="zh-CN"/>
        </w:rPr>
        <w:t>，自觉接受有关部门和社会的监督。</w:t>
      </w:r>
    </w:p>
    <w:p w14:paraId="71156E2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jc w:val="left"/>
        <w:textAlignment w:val="auto"/>
        <w:rPr>
          <w:rFonts w:hint="eastAsia" w:eastAsia="仿宋_GB2312"/>
          <w:color w:val="auto"/>
          <w:sz w:val="32"/>
          <w:szCs w:val="32"/>
          <w:highlight w:val="none"/>
        </w:rPr>
      </w:pPr>
      <w:r>
        <w:rPr>
          <w:rFonts w:ascii="黑体" w:hAnsi="黑体" w:eastAsia="黑体" w:cs="黑体"/>
          <w:spacing w:val="5"/>
          <w:sz w:val="31"/>
          <w:szCs w:val="31"/>
        </w:rPr>
        <w:t>第十</w:t>
      </w:r>
      <w:r>
        <w:rPr>
          <w:rFonts w:hint="eastAsia" w:ascii="黑体" w:hAnsi="黑体" w:eastAsia="黑体" w:cs="黑体"/>
          <w:spacing w:val="5"/>
          <w:sz w:val="31"/>
          <w:szCs w:val="31"/>
          <w:lang w:eastAsia="zh-CN"/>
        </w:rPr>
        <w:t>一</w:t>
      </w:r>
      <w:r>
        <w:rPr>
          <w:rFonts w:ascii="黑体" w:hAnsi="黑体" w:eastAsia="黑体" w:cs="黑体"/>
          <w:spacing w:val="5"/>
          <w:sz w:val="31"/>
          <w:szCs w:val="31"/>
        </w:rPr>
        <w:t xml:space="preserve">条  </w:t>
      </w:r>
      <w:r>
        <w:rPr>
          <w:rFonts w:hint="eastAsia" w:eastAsia="仿宋_GB2312"/>
          <w:color w:val="auto"/>
          <w:sz w:val="32"/>
          <w:szCs w:val="32"/>
          <w:highlight w:val="none"/>
        </w:rPr>
        <w:t>普惠性民办幼儿园每年认定一次。认定期内，加强对普惠性民办幼儿园的动态管理，结合每年督导评估（年检）结果进行奖补资金发放。督导评估</w:t>
      </w:r>
      <w:r>
        <w:rPr>
          <w:rFonts w:hint="eastAsia" w:eastAsia="仿宋_GB2312"/>
          <w:color w:val="auto"/>
          <w:sz w:val="32"/>
          <w:szCs w:val="32"/>
          <w:highlight w:val="none"/>
          <w:lang w:eastAsia="zh-CN"/>
        </w:rPr>
        <w:t>（</w:t>
      </w:r>
      <w:r>
        <w:rPr>
          <w:rFonts w:hint="eastAsia" w:eastAsia="仿宋_GB2312"/>
          <w:color w:val="auto"/>
          <w:sz w:val="32"/>
          <w:szCs w:val="32"/>
          <w:highlight w:val="none"/>
        </w:rPr>
        <w:t>年检</w:t>
      </w:r>
      <w:r>
        <w:rPr>
          <w:rFonts w:hint="eastAsia" w:eastAsia="仿宋_GB2312"/>
          <w:color w:val="auto"/>
          <w:sz w:val="32"/>
          <w:szCs w:val="32"/>
          <w:highlight w:val="none"/>
          <w:lang w:eastAsia="zh-CN"/>
        </w:rPr>
        <w:t>）</w:t>
      </w:r>
      <w:r>
        <w:rPr>
          <w:rFonts w:hint="eastAsia" w:eastAsia="仿宋_GB2312"/>
          <w:color w:val="auto"/>
          <w:sz w:val="32"/>
          <w:szCs w:val="32"/>
          <w:highlight w:val="none"/>
        </w:rPr>
        <w:t>基本合格等级的，经复查后合格的可进行普惠性奖补资金发放，如到期后整改仍达不到相关要求或者逾期没有向主管部门提出复查申请的，年检结果为不合格。确定为不合格等级的</w:t>
      </w:r>
      <w:r>
        <w:rPr>
          <w:rFonts w:hint="eastAsia" w:eastAsia="仿宋_GB2312"/>
          <w:color w:val="auto"/>
          <w:sz w:val="32"/>
          <w:szCs w:val="32"/>
          <w:highlight w:val="none"/>
          <w:lang w:eastAsia="zh-CN"/>
        </w:rPr>
        <w:t>（</w:t>
      </w:r>
      <w:r>
        <w:rPr>
          <w:rFonts w:hint="eastAsia" w:eastAsia="仿宋_GB2312"/>
          <w:color w:val="auto"/>
          <w:sz w:val="32"/>
          <w:szCs w:val="32"/>
          <w:highlight w:val="none"/>
        </w:rPr>
        <w:t>含未参加年检的办学机构视为自动放弃</w:t>
      </w:r>
      <w:r>
        <w:rPr>
          <w:rFonts w:hint="eastAsia" w:eastAsia="仿宋_GB2312"/>
          <w:color w:val="auto"/>
          <w:sz w:val="32"/>
          <w:szCs w:val="32"/>
          <w:highlight w:val="none"/>
          <w:lang w:eastAsia="zh-CN"/>
        </w:rPr>
        <w:t>）</w:t>
      </w:r>
      <w:r>
        <w:rPr>
          <w:rFonts w:hint="eastAsia" w:eastAsia="仿宋_GB2312"/>
          <w:color w:val="auto"/>
          <w:sz w:val="32"/>
          <w:szCs w:val="32"/>
          <w:highlight w:val="none"/>
        </w:rPr>
        <w:t>取消当年普惠性奖补资金发放。</w:t>
      </w:r>
    </w:p>
    <w:p w14:paraId="5E2EEA49">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eastAsia="仿宋_GB2312"/>
          <w:color w:val="auto"/>
          <w:sz w:val="32"/>
          <w:szCs w:val="32"/>
          <w:highlight w:val="none"/>
        </w:rPr>
      </w:pPr>
      <w:r>
        <w:rPr>
          <w:rFonts w:ascii="黑体" w:hAnsi="黑体" w:eastAsia="黑体" w:cs="黑体"/>
          <w:spacing w:val="5"/>
          <w:sz w:val="31"/>
          <w:szCs w:val="31"/>
        </w:rPr>
        <w:t>第十</w:t>
      </w:r>
      <w:r>
        <w:rPr>
          <w:rFonts w:hint="eastAsia" w:ascii="黑体" w:hAnsi="黑体" w:eastAsia="黑体" w:cs="黑体"/>
          <w:spacing w:val="5"/>
          <w:sz w:val="31"/>
          <w:szCs w:val="31"/>
          <w:lang w:eastAsia="zh-CN"/>
        </w:rPr>
        <w:t>二</w:t>
      </w:r>
      <w:r>
        <w:rPr>
          <w:rFonts w:ascii="黑体" w:hAnsi="黑体" w:eastAsia="黑体" w:cs="黑体"/>
          <w:spacing w:val="5"/>
          <w:sz w:val="31"/>
          <w:szCs w:val="31"/>
        </w:rPr>
        <w:t xml:space="preserve">条  </w:t>
      </w:r>
      <w:r>
        <w:rPr>
          <w:rFonts w:hint="eastAsia" w:eastAsia="仿宋_GB2312"/>
          <w:color w:val="auto"/>
          <w:sz w:val="32"/>
          <w:szCs w:val="32"/>
          <w:highlight w:val="none"/>
        </w:rPr>
        <w:t>普惠性民办幼儿园应当建立健全财务会计、资产管理和预决算制度，实行财务公开，每年需</w:t>
      </w:r>
      <w:r>
        <w:rPr>
          <w:rFonts w:hint="eastAsia" w:eastAsia="仿宋_GB2312"/>
          <w:color w:val="auto"/>
          <w:sz w:val="32"/>
          <w:szCs w:val="32"/>
          <w:highlight w:val="none"/>
          <w:lang w:eastAsia="zh-CN"/>
        </w:rPr>
        <w:t>在</w:t>
      </w:r>
      <w:r>
        <w:rPr>
          <w:rFonts w:hint="eastAsia" w:eastAsia="仿宋_GB2312"/>
          <w:color w:val="auto"/>
          <w:sz w:val="32"/>
          <w:szCs w:val="32"/>
          <w:highlight w:val="none"/>
        </w:rPr>
        <w:t>督导评估</w:t>
      </w:r>
      <w:r>
        <w:rPr>
          <w:rFonts w:hint="eastAsia"/>
          <w:color w:val="auto"/>
          <w:sz w:val="32"/>
          <w:szCs w:val="32"/>
          <w:highlight w:val="none"/>
          <w:lang w:eastAsia="zh-CN"/>
        </w:rPr>
        <w:t>（</w:t>
      </w:r>
      <w:r>
        <w:rPr>
          <w:rFonts w:hint="eastAsia" w:eastAsia="仿宋_GB2312"/>
          <w:color w:val="auto"/>
          <w:sz w:val="32"/>
          <w:szCs w:val="32"/>
          <w:highlight w:val="none"/>
        </w:rPr>
        <w:t>年检</w:t>
      </w:r>
      <w:r>
        <w:rPr>
          <w:rFonts w:hint="eastAsia"/>
          <w:color w:val="auto"/>
          <w:sz w:val="32"/>
          <w:szCs w:val="32"/>
          <w:highlight w:val="none"/>
          <w:lang w:eastAsia="zh-CN"/>
        </w:rPr>
        <w:t>）</w:t>
      </w:r>
      <w:r>
        <w:rPr>
          <w:rFonts w:hint="eastAsia" w:eastAsia="仿宋_GB2312"/>
          <w:color w:val="auto"/>
          <w:sz w:val="32"/>
          <w:szCs w:val="32"/>
          <w:highlight w:val="none"/>
        </w:rPr>
        <w:t>审计报告中明确体现</w:t>
      </w:r>
      <w:r>
        <w:rPr>
          <w:rFonts w:hint="eastAsia" w:eastAsia="仿宋_GB2312"/>
          <w:color w:val="auto"/>
          <w:sz w:val="32"/>
          <w:szCs w:val="32"/>
          <w:highlight w:val="none"/>
          <w:lang w:eastAsia="zh-CN"/>
        </w:rPr>
        <w:t>普惠</w:t>
      </w:r>
      <w:r>
        <w:rPr>
          <w:rFonts w:hint="eastAsia" w:eastAsia="仿宋_GB2312"/>
          <w:color w:val="auto"/>
          <w:sz w:val="32"/>
          <w:szCs w:val="32"/>
          <w:highlight w:val="none"/>
        </w:rPr>
        <w:t>性财政资金使用情况。</w:t>
      </w:r>
    </w:p>
    <w:p w14:paraId="2924827A">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lang w:eastAsia="zh-CN"/>
        </w:rPr>
      </w:pPr>
      <w:r>
        <w:rPr>
          <w:rFonts w:ascii="黑体" w:hAnsi="黑体" w:eastAsia="黑体" w:cs="黑体"/>
          <w:spacing w:val="5"/>
          <w:sz w:val="31"/>
          <w:szCs w:val="31"/>
        </w:rPr>
        <w:t>第十</w:t>
      </w:r>
      <w:r>
        <w:rPr>
          <w:rFonts w:hint="eastAsia" w:ascii="黑体" w:hAnsi="黑体" w:eastAsia="黑体" w:cs="黑体"/>
          <w:spacing w:val="5"/>
          <w:sz w:val="31"/>
          <w:szCs w:val="31"/>
          <w:lang w:eastAsia="zh-CN"/>
        </w:rPr>
        <w:t>三</w:t>
      </w:r>
      <w:r>
        <w:rPr>
          <w:rFonts w:ascii="黑体" w:hAnsi="黑体" w:eastAsia="黑体" w:cs="黑体"/>
          <w:spacing w:val="5"/>
          <w:sz w:val="31"/>
          <w:szCs w:val="31"/>
        </w:rPr>
        <w:t xml:space="preserve">条  </w:t>
      </w:r>
      <w:r>
        <w:rPr>
          <w:rFonts w:hint="eastAsia" w:eastAsia="仿宋_GB2312"/>
          <w:color w:val="auto"/>
          <w:sz w:val="32"/>
          <w:szCs w:val="32"/>
          <w:highlight w:val="none"/>
        </w:rPr>
        <w:t>奖补资金</w:t>
      </w:r>
      <w:r>
        <w:rPr>
          <w:rFonts w:hint="eastAsia" w:eastAsia="仿宋_GB2312"/>
          <w:color w:val="auto"/>
          <w:sz w:val="32"/>
          <w:szCs w:val="32"/>
          <w:highlight w:val="none"/>
          <w:lang w:eastAsia="zh-CN"/>
        </w:rPr>
        <w:t>将在当年年检结果公示后给予发放。</w:t>
      </w:r>
      <w:r>
        <w:rPr>
          <w:rFonts w:hint="eastAsia" w:eastAsia="仿宋_GB2312"/>
          <w:color w:val="auto"/>
          <w:sz w:val="32"/>
          <w:szCs w:val="32"/>
          <w:highlight w:val="none"/>
        </w:rPr>
        <w:t>实行独立核算，专款专用。奖补资金主要用于改善办园条件、教师培训、提高教职工待遇、租赁园舍等，不得用于偿清债务、回报举办者、赞助投资和罚款等其他用途。对存在未按要求使用资金、采取不正当手段骗取资金、违反国家财政财务制度等问题的幼儿园将按照有关规定予以处理</w:t>
      </w:r>
      <w:r>
        <w:rPr>
          <w:rFonts w:hint="eastAsia" w:eastAsia="仿宋_GB2312"/>
          <w:color w:val="auto"/>
          <w:sz w:val="32"/>
          <w:szCs w:val="32"/>
          <w:highlight w:val="none"/>
          <w:lang w:eastAsia="zh-CN"/>
        </w:rPr>
        <w:t>，</w:t>
      </w:r>
      <w:r>
        <w:rPr>
          <w:rFonts w:hint="eastAsia" w:eastAsia="仿宋_GB2312"/>
          <w:color w:val="auto"/>
          <w:sz w:val="32"/>
          <w:szCs w:val="32"/>
          <w:highlight w:val="none"/>
        </w:rPr>
        <w:t>除追缴已发放奖补资金外，减少或取消下年度奖补资金</w:t>
      </w:r>
      <w:r>
        <w:rPr>
          <w:rFonts w:hint="eastAsia" w:eastAsia="仿宋_GB2312"/>
          <w:color w:val="auto"/>
          <w:sz w:val="32"/>
          <w:szCs w:val="32"/>
          <w:highlight w:val="none"/>
          <w:lang w:eastAsia="zh-CN"/>
        </w:rPr>
        <w:t>。</w:t>
      </w:r>
    </w:p>
    <w:p w14:paraId="2B5A7D28">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eastAsia="仿宋_GB2312"/>
          <w:color w:val="auto"/>
          <w:sz w:val="32"/>
          <w:szCs w:val="32"/>
          <w:highlight w:val="none"/>
        </w:rPr>
      </w:pPr>
      <w:r>
        <w:rPr>
          <w:rFonts w:ascii="黑体" w:hAnsi="黑体" w:eastAsia="黑体" w:cs="黑体"/>
          <w:spacing w:val="5"/>
          <w:sz w:val="31"/>
          <w:szCs w:val="31"/>
        </w:rPr>
        <w:t>第十</w:t>
      </w:r>
      <w:r>
        <w:rPr>
          <w:rFonts w:hint="eastAsia" w:ascii="黑体" w:hAnsi="黑体" w:eastAsia="黑体" w:cs="黑体"/>
          <w:spacing w:val="5"/>
          <w:sz w:val="31"/>
          <w:szCs w:val="31"/>
          <w:lang w:eastAsia="zh-CN"/>
        </w:rPr>
        <w:t>四</w:t>
      </w:r>
      <w:r>
        <w:rPr>
          <w:rFonts w:ascii="黑体" w:hAnsi="黑体" w:eastAsia="黑体" w:cs="黑体"/>
          <w:spacing w:val="5"/>
          <w:sz w:val="31"/>
          <w:szCs w:val="31"/>
        </w:rPr>
        <w:t xml:space="preserve">条  </w:t>
      </w:r>
      <w:r>
        <w:rPr>
          <w:rFonts w:hint="eastAsia" w:eastAsia="仿宋_GB2312"/>
          <w:color w:val="auto"/>
          <w:sz w:val="32"/>
          <w:szCs w:val="32"/>
          <w:highlight w:val="none"/>
        </w:rPr>
        <w:t>幼儿园收取费用、开展活动的资金往来，要使用在区</w:t>
      </w:r>
      <w:r>
        <w:rPr>
          <w:rFonts w:hint="eastAsia" w:eastAsia="仿宋_GB2312"/>
          <w:color w:val="auto"/>
          <w:sz w:val="32"/>
          <w:szCs w:val="32"/>
          <w:highlight w:val="none"/>
          <w:lang w:eastAsia="zh-CN"/>
        </w:rPr>
        <w:t>社会事业局</w:t>
      </w:r>
      <w:r>
        <w:rPr>
          <w:rFonts w:hint="eastAsia" w:eastAsia="仿宋_GB2312"/>
          <w:color w:val="auto"/>
          <w:sz w:val="32"/>
          <w:szCs w:val="32"/>
          <w:highlight w:val="none"/>
        </w:rPr>
        <w:t>备案的账户，所有幼儿收费必须全部缴入备案的银行账户，不得缴入个人银行账户或通过微信等其他方式收取，严禁收费资金进行体外循环。确保收费主要用于保障教职工待遇、改善办园条件、提高保教质量。</w:t>
      </w:r>
    </w:p>
    <w:p w14:paraId="49803C20">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rPr>
      </w:pPr>
      <w:r>
        <w:rPr>
          <w:rFonts w:ascii="黑体" w:hAnsi="黑体" w:eastAsia="黑体" w:cs="黑体"/>
          <w:spacing w:val="5"/>
          <w:sz w:val="31"/>
          <w:szCs w:val="31"/>
        </w:rPr>
        <w:t>第十</w:t>
      </w:r>
      <w:r>
        <w:rPr>
          <w:rFonts w:hint="eastAsia" w:ascii="黑体" w:hAnsi="黑体" w:eastAsia="黑体" w:cs="黑体"/>
          <w:spacing w:val="5"/>
          <w:sz w:val="31"/>
          <w:szCs w:val="31"/>
          <w:lang w:eastAsia="zh-CN"/>
        </w:rPr>
        <w:t>五</w:t>
      </w:r>
      <w:r>
        <w:rPr>
          <w:rFonts w:ascii="黑体" w:hAnsi="黑体" w:eastAsia="黑体" w:cs="黑体"/>
          <w:spacing w:val="5"/>
          <w:sz w:val="31"/>
          <w:szCs w:val="31"/>
        </w:rPr>
        <w:t>条</w:t>
      </w:r>
      <w:r>
        <w:rPr>
          <w:rFonts w:hint="eastAsia" w:ascii="黑体" w:hAnsi="黑体" w:eastAsia="黑体" w:cs="黑体"/>
          <w:spacing w:val="5"/>
          <w:sz w:val="31"/>
          <w:szCs w:val="31"/>
          <w:lang w:val="en-US" w:eastAsia="zh-CN"/>
        </w:rPr>
        <w:t xml:space="preserve">  </w:t>
      </w:r>
      <w:r>
        <w:rPr>
          <w:rFonts w:hint="eastAsia" w:eastAsia="仿宋_GB2312"/>
          <w:color w:val="auto"/>
          <w:sz w:val="32"/>
          <w:szCs w:val="32"/>
          <w:highlight w:val="none"/>
        </w:rPr>
        <w:t>行业主管部门定期或不定期对普惠性民办幼儿园办园情况进行检查。区经济发展局</w:t>
      </w:r>
      <w:r>
        <w:rPr>
          <w:rFonts w:hint="eastAsia" w:eastAsia="仿宋_GB2312"/>
          <w:color w:val="auto"/>
          <w:sz w:val="32"/>
          <w:szCs w:val="32"/>
          <w:highlight w:val="none"/>
          <w:lang w:eastAsia="zh-CN"/>
        </w:rPr>
        <w:t>、区社会事业局</w:t>
      </w:r>
      <w:r>
        <w:rPr>
          <w:rFonts w:hint="eastAsia" w:eastAsia="仿宋_GB2312"/>
          <w:color w:val="auto"/>
          <w:sz w:val="32"/>
          <w:szCs w:val="32"/>
          <w:highlight w:val="none"/>
        </w:rPr>
        <w:t>对幼儿园保教费收</w:t>
      </w:r>
      <w:r>
        <w:rPr>
          <w:rFonts w:hint="eastAsia"/>
          <w:color w:val="auto"/>
          <w:sz w:val="32"/>
          <w:szCs w:val="32"/>
          <w:highlight w:val="none"/>
          <w:lang w:eastAsia="zh-CN"/>
        </w:rPr>
        <w:t>费</w:t>
      </w:r>
      <w:r>
        <w:rPr>
          <w:rFonts w:hint="eastAsia" w:eastAsia="仿宋_GB2312"/>
          <w:color w:val="auto"/>
          <w:sz w:val="32"/>
          <w:szCs w:val="32"/>
          <w:highlight w:val="none"/>
          <w:lang w:eastAsia="zh-CN"/>
        </w:rPr>
        <w:t>标准</w:t>
      </w:r>
      <w:r>
        <w:rPr>
          <w:rFonts w:hint="eastAsia" w:eastAsia="仿宋_GB2312"/>
          <w:color w:val="auto"/>
          <w:sz w:val="32"/>
          <w:szCs w:val="32"/>
          <w:highlight w:val="none"/>
        </w:rPr>
        <w:t>进行监管，对</w:t>
      </w:r>
      <w:r>
        <w:rPr>
          <w:rFonts w:hint="eastAsia" w:eastAsia="仿宋_GB2312"/>
          <w:color w:val="auto"/>
          <w:sz w:val="32"/>
          <w:szCs w:val="32"/>
          <w:highlight w:val="none"/>
          <w:lang w:eastAsia="zh-CN"/>
        </w:rPr>
        <w:t>上级部门出台的幼儿园收费政策，及时做好政策的宣传和落实工作</w:t>
      </w:r>
      <w:r>
        <w:rPr>
          <w:rFonts w:hint="eastAsia" w:eastAsia="仿宋_GB2312"/>
          <w:color w:val="auto"/>
          <w:sz w:val="32"/>
          <w:szCs w:val="32"/>
          <w:highlight w:val="none"/>
        </w:rPr>
        <w:t>；区财政金融局对财政补助资</w:t>
      </w:r>
      <w:r>
        <w:rPr>
          <w:rFonts w:hint="eastAsia" w:eastAsia="仿宋_GB2312"/>
          <w:color w:val="auto"/>
          <w:sz w:val="32"/>
          <w:szCs w:val="32"/>
          <w:highlight w:val="none"/>
          <w:lang w:eastAsia="zh-CN"/>
        </w:rPr>
        <w:t>金使用情况进行监管，对资金使用不当的，按照有关规定予以处理；区市场监督管理局对幼儿园收费行为进行监督检查，依法查处价格违法行为；区社会事业局对办园行为进行督导检查，对存在问题的幼儿园给予通报</w:t>
      </w:r>
      <w:r>
        <w:rPr>
          <w:rFonts w:hint="eastAsia" w:eastAsia="仿宋_GB2312"/>
          <w:color w:val="auto"/>
          <w:sz w:val="32"/>
          <w:szCs w:val="32"/>
          <w:highlight w:val="none"/>
        </w:rPr>
        <w:t>，视情况对奖补资金进行取消或扣减。</w:t>
      </w:r>
    </w:p>
    <w:p w14:paraId="0CC66DB9">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rPr>
      </w:pPr>
    </w:p>
    <w:p w14:paraId="0619A4E8">
      <w:pPr>
        <w:spacing w:before="133" w:line="207" w:lineRule="auto"/>
        <w:jc w:val="center"/>
        <w:rPr>
          <w:rFonts w:hint="eastAsia" w:ascii="黑体" w:hAnsi="黑体" w:eastAsia="黑体" w:cs="黑体"/>
          <w:spacing w:val="5"/>
          <w:sz w:val="32"/>
          <w:szCs w:val="32"/>
        </w:rPr>
      </w:pPr>
      <w:r>
        <w:rPr>
          <w:rFonts w:hint="eastAsia" w:ascii="黑体" w:hAnsi="黑体" w:eastAsia="黑体" w:cs="黑体"/>
          <w:spacing w:val="5"/>
          <w:sz w:val="32"/>
          <w:szCs w:val="32"/>
        </w:rPr>
        <w:t>第七章</w:t>
      </w:r>
      <w:r>
        <w:rPr>
          <w:rFonts w:hint="eastAsia" w:ascii="黑体" w:hAnsi="黑体" w:eastAsia="黑体" w:cs="黑体"/>
          <w:spacing w:val="21"/>
          <w:sz w:val="32"/>
          <w:szCs w:val="32"/>
        </w:rPr>
        <w:t xml:space="preserve">   </w:t>
      </w:r>
      <w:r>
        <w:rPr>
          <w:rFonts w:hint="eastAsia" w:ascii="黑体" w:hAnsi="黑体" w:eastAsia="黑体" w:cs="黑体"/>
          <w:spacing w:val="5"/>
          <w:sz w:val="32"/>
          <w:szCs w:val="32"/>
        </w:rPr>
        <w:t>退出机制</w:t>
      </w:r>
    </w:p>
    <w:p w14:paraId="77264D6C">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rPr>
      </w:pPr>
    </w:p>
    <w:p w14:paraId="22E797BC">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rPr>
      </w:pPr>
      <w:r>
        <w:rPr>
          <w:rFonts w:ascii="黑体" w:hAnsi="黑体" w:eastAsia="黑体" w:cs="黑体"/>
          <w:spacing w:val="5"/>
          <w:sz w:val="31"/>
          <w:szCs w:val="31"/>
        </w:rPr>
        <w:t>第十</w:t>
      </w:r>
      <w:r>
        <w:rPr>
          <w:rFonts w:hint="eastAsia" w:ascii="黑体" w:hAnsi="黑体" w:eastAsia="黑体" w:cs="黑体"/>
          <w:spacing w:val="5"/>
          <w:sz w:val="31"/>
          <w:szCs w:val="31"/>
          <w:lang w:eastAsia="zh-CN"/>
        </w:rPr>
        <w:t>六</w:t>
      </w:r>
      <w:r>
        <w:rPr>
          <w:rFonts w:ascii="黑体" w:hAnsi="黑体" w:eastAsia="黑体" w:cs="黑体"/>
          <w:spacing w:val="5"/>
          <w:sz w:val="31"/>
          <w:szCs w:val="31"/>
        </w:rPr>
        <w:t>条</w:t>
      </w:r>
      <w:r>
        <w:rPr>
          <w:rFonts w:hint="eastAsia" w:ascii="黑体" w:hAnsi="黑体" w:eastAsia="黑体" w:cs="黑体"/>
          <w:spacing w:val="5"/>
          <w:sz w:val="31"/>
          <w:szCs w:val="31"/>
          <w:lang w:val="en-US" w:eastAsia="zh-CN"/>
        </w:rPr>
        <w:t xml:space="preserve">  </w:t>
      </w:r>
      <w:r>
        <w:rPr>
          <w:rFonts w:hint="eastAsia" w:eastAsia="仿宋_GB2312"/>
          <w:color w:val="auto"/>
          <w:sz w:val="32"/>
          <w:szCs w:val="32"/>
          <w:highlight w:val="none"/>
        </w:rPr>
        <w:t>对于出现办园条件不达标、办园行为不规范、</w:t>
      </w:r>
      <w:r>
        <w:rPr>
          <w:rFonts w:hint="eastAsia" w:eastAsia="仿宋_GB2312"/>
          <w:color w:val="auto"/>
          <w:sz w:val="32"/>
          <w:szCs w:val="32"/>
          <w:highlight w:val="none"/>
          <w:lang w:eastAsia="zh-CN"/>
        </w:rPr>
        <w:t>保育教育质量下降、违规收费、负面舆情</w:t>
      </w:r>
      <w:r>
        <w:rPr>
          <w:rFonts w:hint="eastAsia" w:eastAsia="仿宋_GB2312"/>
          <w:color w:val="auto"/>
          <w:sz w:val="32"/>
          <w:szCs w:val="32"/>
          <w:highlight w:val="none"/>
        </w:rPr>
        <w:t>等问题的幼儿园，一经查实，限期整改，整改达不到要求的，视情况扣减或停止奖补资金发放。</w:t>
      </w:r>
    </w:p>
    <w:p w14:paraId="2FBC026E">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color w:val="auto"/>
          <w:sz w:val="32"/>
          <w:szCs w:val="32"/>
          <w:highlight w:val="none"/>
        </w:rPr>
      </w:pPr>
      <w:r>
        <w:rPr>
          <w:rFonts w:ascii="黑体" w:hAnsi="黑体" w:eastAsia="黑体" w:cs="黑体"/>
          <w:spacing w:val="5"/>
          <w:sz w:val="31"/>
          <w:szCs w:val="31"/>
        </w:rPr>
        <w:t>第十</w:t>
      </w:r>
      <w:r>
        <w:rPr>
          <w:rFonts w:hint="eastAsia" w:ascii="黑体" w:hAnsi="黑体" w:eastAsia="黑体" w:cs="黑体"/>
          <w:spacing w:val="5"/>
          <w:sz w:val="31"/>
          <w:szCs w:val="31"/>
          <w:lang w:eastAsia="zh-CN"/>
        </w:rPr>
        <w:t>七</w:t>
      </w:r>
      <w:r>
        <w:rPr>
          <w:rFonts w:ascii="黑体" w:hAnsi="黑体" w:eastAsia="黑体" w:cs="黑体"/>
          <w:spacing w:val="5"/>
          <w:sz w:val="31"/>
          <w:szCs w:val="31"/>
        </w:rPr>
        <w:t>条</w:t>
      </w:r>
      <w:r>
        <w:rPr>
          <w:rFonts w:hint="eastAsia" w:ascii="黑体" w:hAnsi="黑体" w:eastAsia="黑体" w:cs="黑体"/>
          <w:spacing w:val="5"/>
          <w:sz w:val="31"/>
          <w:szCs w:val="31"/>
          <w:lang w:val="en-US" w:eastAsia="zh-CN"/>
        </w:rPr>
        <w:t xml:space="preserve">  </w:t>
      </w:r>
      <w:r>
        <w:rPr>
          <w:rFonts w:hint="eastAsia" w:eastAsia="仿宋_GB2312"/>
          <w:color w:val="auto"/>
          <w:sz w:val="32"/>
          <w:szCs w:val="32"/>
          <w:highlight w:val="none"/>
        </w:rPr>
        <w:t>对于出现重大安全事故、重大师德师风问题</w:t>
      </w:r>
      <w:r>
        <w:rPr>
          <w:rFonts w:hint="eastAsia" w:eastAsia="仿宋_GB2312"/>
          <w:color w:val="auto"/>
          <w:sz w:val="32"/>
          <w:szCs w:val="32"/>
          <w:highlight w:val="none"/>
          <w:lang w:eastAsia="zh-CN"/>
        </w:rPr>
        <w:t>、</w:t>
      </w:r>
      <w:r>
        <w:rPr>
          <w:rFonts w:hint="eastAsia" w:eastAsia="仿宋_GB2312"/>
          <w:color w:val="auto"/>
          <w:sz w:val="32"/>
          <w:szCs w:val="32"/>
          <w:highlight w:val="none"/>
        </w:rPr>
        <w:t>“小学化”倾向严重等问题的幼儿园，立即取消认定期内的政府扶持政策，停止或收回当年奖补资金的发放，并追究相关人员责任；认定期内，利用非居住区配套园举办普惠性民办幼儿园的，取消其普惠性民办幼儿园资格，停止享受政府的扶持政策，并在三年内不得再次申报普惠性民办幼儿园</w:t>
      </w:r>
      <w:r>
        <w:rPr>
          <w:rFonts w:hint="eastAsia" w:eastAsia="仿宋_GB2312"/>
          <w:color w:val="auto"/>
          <w:sz w:val="32"/>
          <w:szCs w:val="32"/>
          <w:highlight w:val="none"/>
          <w:lang w:eastAsia="zh-CN"/>
        </w:rPr>
        <w:t>；</w:t>
      </w:r>
      <w:r>
        <w:rPr>
          <w:rFonts w:hint="eastAsia" w:eastAsia="仿宋_GB2312"/>
          <w:color w:val="auto"/>
          <w:sz w:val="32"/>
          <w:szCs w:val="32"/>
          <w:highlight w:val="none"/>
        </w:rPr>
        <w:t>属于居住区配套幼儿园的，整改合格后再行发放奖补资金，停发期间资金不予以补发。在园幼儿收费标准实行老生老办法，新生新办法。</w:t>
      </w:r>
    </w:p>
    <w:p w14:paraId="17580EB2">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lang w:eastAsia="zh-CN"/>
        </w:rPr>
      </w:pPr>
      <w:r>
        <w:rPr>
          <w:rFonts w:ascii="黑体" w:hAnsi="黑体" w:eastAsia="黑体" w:cs="黑体"/>
          <w:spacing w:val="5"/>
          <w:sz w:val="31"/>
          <w:szCs w:val="31"/>
        </w:rPr>
        <w:t>第十</w:t>
      </w:r>
      <w:r>
        <w:rPr>
          <w:rFonts w:hint="eastAsia" w:ascii="黑体" w:hAnsi="黑体" w:eastAsia="黑体" w:cs="黑体"/>
          <w:spacing w:val="5"/>
          <w:sz w:val="31"/>
          <w:szCs w:val="31"/>
          <w:lang w:eastAsia="zh-CN"/>
        </w:rPr>
        <w:t>八</w:t>
      </w:r>
      <w:r>
        <w:rPr>
          <w:rFonts w:ascii="黑体" w:hAnsi="黑体" w:eastAsia="黑体" w:cs="黑体"/>
          <w:spacing w:val="5"/>
          <w:sz w:val="31"/>
          <w:szCs w:val="31"/>
        </w:rPr>
        <w:t>条</w:t>
      </w:r>
      <w:r>
        <w:rPr>
          <w:rFonts w:hint="eastAsia" w:ascii="黑体" w:hAnsi="黑体" w:eastAsia="黑体" w:cs="黑体"/>
          <w:spacing w:val="5"/>
          <w:sz w:val="31"/>
          <w:szCs w:val="31"/>
          <w:lang w:val="en-US" w:eastAsia="zh-CN"/>
        </w:rPr>
        <w:t xml:space="preserve">  </w:t>
      </w:r>
      <w:r>
        <w:rPr>
          <w:rFonts w:hint="eastAsia" w:eastAsia="仿宋_GB2312"/>
          <w:color w:val="auto"/>
          <w:sz w:val="32"/>
          <w:szCs w:val="32"/>
          <w:highlight w:val="none"/>
        </w:rPr>
        <w:t>普惠性民办幼儿园在有效期内自愿退出的，应当提前6个月向区</w:t>
      </w:r>
      <w:r>
        <w:rPr>
          <w:rFonts w:hint="eastAsia" w:eastAsia="仿宋_GB2312"/>
          <w:color w:val="auto"/>
          <w:sz w:val="32"/>
          <w:szCs w:val="32"/>
          <w:highlight w:val="none"/>
          <w:lang w:eastAsia="zh-CN"/>
        </w:rPr>
        <w:t>社会事业局</w:t>
      </w:r>
      <w:r>
        <w:rPr>
          <w:rFonts w:hint="eastAsia" w:eastAsia="仿宋_GB2312"/>
          <w:color w:val="auto"/>
          <w:sz w:val="32"/>
          <w:szCs w:val="32"/>
          <w:highlight w:val="none"/>
        </w:rPr>
        <w:t>提出书面申请，由区</w:t>
      </w:r>
      <w:r>
        <w:rPr>
          <w:rFonts w:hint="eastAsia" w:eastAsia="仿宋_GB2312"/>
          <w:color w:val="auto"/>
          <w:sz w:val="32"/>
          <w:szCs w:val="32"/>
          <w:highlight w:val="none"/>
          <w:lang w:eastAsia="zh-CN"/>
        </w:rPr>
        <w:t>社会事业局</w:t>
      </w:r>
      <w:r>
        <w:rPr>
          <w:rFonts w:hint="eastAsia" w:eastAsia="仿宋_GB2312"/>
          <w:color w:val="auto"/>
          <w:sz w:val="32"/>
          <w:szCs w:val="32"/>
          <w:highlight w:val="none"/>
        </w:rPr>
        <w:t>会同区财政金融局对财政补助资金使用情况进行审计，审计通过后，方可退出普惠性民办幼儿园管理。退出后，不再享受财政补助。</w:t>
      </w:r>
      <w:r>
        <w:rPr>
          <w:rFonts w:hint="eastAsia" w:eastAsia="仿宋_GB2312"/>
          <w:color w:val="auto"/>
          <w:sz w:val="32"/>
          <w:szCs w:val="32"/>
          <w:highlight w:val="none"/>
          <w:lang w:eastAsia="zh-CN"/>
        </w:rPr>
        <w:t>对于未按时间要求提出书面申请的，视情况将对奖补资金进行扣减或取消</w:t>
      </w:r>
      <w:r>
        <w:rPr>
          <w:rFonts w:hint="eastAsia" w:eastAsia="仿宋_GB2312"/>
          <w:color w:val="auto"/>
          <w:sz w:val="32"/>
          <w:szCs w:val="32"/>
          <w:highlight w:val="none"/>
          <w:lang w:val="en-US" w:eastAsia="zh-CN"/>
        </w:rPr>
        <w:t>6个月补助发放</w:t>
      </w:r>
      <w:r>
        <w:rPr>
          <w:rFonts w:hint="eastAsia" w:eastAsia="仿宋_GB2312"/>
          <w:color w:val="auto"/>
          <w:sz w:val="32"/>
          <w:szCs w:val="32"/>
          <w:highlight w:val="none"/>
        </w:rPr>
        <w:t>。在园幼儿收费标准实行老生老办法，新生新办法。</w:t>
      </w:r>
    </w:p>
    <w:p w14:paraId="55D89295">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rPr>
      </w:pPr>
      <w:r>
        <w:rPr>
          <w:rFonts w:ascii="黑体" w:hAnsi="黑体" w:eastAsia="黑体" w:cs="黑体"/>
          <w:spacing w:val="5"/>
          <w:sz w:val="31"/>
          <w:szCs w:val="31"/>
        </w:rPr>
        <w:t>第十</w:t>
      </w:r>
      <w:r>
        <w:rPr>
          <w:rFonts w:hint="eastAsia" w:ascii="黑体" w:hAnsi="黑体" w:eastAsia="黑体" w:cs="黑体"/>
          <w:spacing w:val="5"/>
          <w:sz w:val="31"/>
          <w:szCs w:val="31"/>
          <w:lang w:eastAsia="zh-CN"/>
        </w:rPr>
        <w:t>九</w:t>
      </w:r>
      <w:r>
        <w:rPr>
          <w:rFonts w:ascii="黑体" w:hAnsi="黑体" w:eastAsia="黑体" w:cs="黑体"/>
          <w:spacing w:val="5"/>
          <w:sz w:val="31"/>
          <w:szCs w:val="31"/>
        </w:rPr>
        <w:t>条</w:t>
      </w:r>
      <w:r>
        <w:rPr>
          <w:rFonts w:hint="eastAsia" w:ascii="黑体" w:hAnsi="黑体" w:eastAsia="黑体" w:cs="黑体"/>
          <w:spacing w:val="5"/>
          <w:sz w:val="31"/>
          <w:szCs w:val="31"/>
          <w:lang w:val="en-US" w:eastAsia="zh-CN"/>
        </w:rPr>
        <w:t xml:space="preserve">  </w:t>
      </w:r>
      <w:r>
        <w:rPr>
          <w:rFonts w:hint="eastAsia" w:eastAsia="仿宋_GB2312"/>
          <w:color w:val="auto"/>
          <w:sz w:val="32"/>
          <w:szCs w:val="32"/>
          <w:highlight w:val="none"/>
        </w:rPr>
        <w:t>凡需重新取得普惠性民办幼儿园资格的，应按相关规定重新申请认定。重新认定后，已获得同级别提档升级一次性补助资金的，不再享受重复补助。</w:t>
      </w:r>
    </w:p>
    <w:p w14:paraId="50BEB1E3">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rPr>
      </w:pPr>
    </w:p>
    <w:p w14:paraId="78EB4EC4">
      <w:pPr>
        <w:spacing w:before="133" w:line="207" w:lineRule="auto"/>
        <w:jc w:val="center"/>
        <w:rPr>
          <w:rFonts w:hint="eastAsia" w:ascii="黑体" w:hAnsi="黑体" w:eastAsia="黑体" w:cs="黑体"/>
          <w:spacing w:val="5"/>
          <w:sz w:val="32"/>
          <w:szCs w:val="32"/>
        </w:rPr>
      </w:pPr>
      <w:r>
        <w:rPr>
          <w:rFonts w:hint="eastAsia" w:ascii="黑体" w:hAnsi="黑体" w:eastAsia="黑体" w:cs="黑体"/>
          <w:spacing w:val="5"/>
          <w:sz w:val="32"/>
          <w:szCs w:val="32"/>
        </w:rPr>
        <w:t>第八章</w:t>
      </w:r>
      <w:r>
        <w:rPr>
          <w:rFonts w:hint="eastAsia" w:ascii="黑体" w:hAnsi="黑体" w:eastAsia="黑体" w:cs="黑体"/>
          <w:spacing w:val="21"/>
          <w:sz w:val="32"/>
          <w:szCs w:val="32"/>
        </w:rPr>
        <w:t xml:space="preserve">   </w:t>
      </w:r>
      <w:r>
        <w:rPr>
          <w:rFonts w:hint="eastAsia" w:ascii="黑体" w:hAnsi="黑体" w:eastAsia="黑体" w:cs="黑体"/>
          <w:spacing w:val="5"/>
          <w:sz w:val="32"/>
          <w:szCs w:val="32"/>
        </w:rPr>
        <w:t>法律责任</w:t>
      </w:r>
    </w:p>
    <w:p w14:paraId="4FAB0923">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olor w:val="auto"/>
          <w:sz w:val="32"/>
          <w:szCs w:val="32"/>
          <w:highlight w:val="none"/>
        </w:rPr>
      </w:pPr>
    </w:p>
    <w:p w14:paraId="0940A6E0">
      <w:pPr>
        <w:keepNext w:val="0"/>
        <w:keepLines w:val="0"/>
        <w:pageBreakBefore w:val="0"/>
        <w:widowControl/>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宋体" w:eastAsia="仿宋_GB2312" w:cs="仿宋_GB2312"/>
          <w:color w:val="auto"/>
          <w:kern w:val="0"/>
          <w:sz w:val="32"/>
          <w:szCs w:val="32"/>
          <w:highlight w:val="none"/>
          <w:lang w:bidi="ar"/>
        </w:rPr>
      </w:pPr>
      <w:r>
        <w:rPr>
          <w:rFonts w:ascii="黑体" w:hAnsi="黑体" w:eastAsia="黑体" w:cs="黑体"/>
          <w:spacing w:val="5"/>
          <w:sz w:val="31"/>
          <w:szCs w:val="31"/>
        </w:rPr>
        <w:t>第</w:t>
      </w:r>
      <w:r>
        <w:rPr>
          <w:rFonts w:hint="eastAsia" w:ascii="黑体" w:hAnsi="黑体" w:eastAsia="黑体" w:cs="黑体"/>
          <w:spacing w:val="5"/>
          <w:sz w:val="31"/>
          <w:szCs w:val="31"/>
          <w:lang w:eastAsia="zh-CN"/>
        </w:rPr>
        <w:t>二十</w:t>
      </w:r>
      <w:r>
        <w:rPr>
          <w:rFonts w:ascii="黑体" w:hAnsi="黑体" w:eastAsia="黑体" w:cs="黑体"/>
          <w:spacing w:val="5"/>
          <w:sz w:val="31"/>
          <w:szCs w:val="31"/>
        </w:rPr>
        <w:t>条</w:t>
      </w:r>
      <w:r>
        <w:rPr>
          <w:rFonts w:hint="eastAsia" w:ascii="黑体" w:hAnsi="黑体" w:eastAsia="黑体" w:cs="黑体"/>
          <w:spacing w:val="5"/>
          <w:sz w:val="31"/>
          <w:szCs w:val="31"/>
          <w:lang w:val="en-US" w:eastAsia="zh-CN"/>
        </w:rPr>
        <w:t xml:space="preserve">  </w:t>
      </w:r>
      <w:r>
        <w:rPr>
          <w:rFonts w:ascii="仿宋_GB2312" w:hAnsi="宋体" w:eastAsia="仿宋_GB2312" w:cs="仿宋_GB2312"/>
          <w:color w:val="auto"/>
          <w:kern w:val="0"/>
          <w:sz w:val="32"/>
          <w:szCs w:val="32"/>
          <w:highlight w:val="none"/>
          <w:lang w:bidi="ar"/>
        </w:rPr>
        <w:t>对恶意套取、挪用奖补资金的，取消普惠性民</w:t>
      </w:r>
      <w:r>
        <w:rPr>
          <w:rFonts w:hint="eastAsia" w:ascii="仿宋_GB2312" w:hAnsi="宋体" w:eastAsia="仿宋_GB2312" w:cs="仿宋_GB2312"/>
          <w:color w:val="auto"/>
          <w:kern w:val="0"/>
          <w:sz w:val="32"/>
          <w:szCs w:val="32"/>
          <w:highlight w:val="none"/>
          <w:lang w:bidi="ar"/>
        </w:rPr>
        <w:t>办幼儿园认定资格，收回全部奖补资金，并依法追究其法律责任。</w:t>
      </w:r>
    </w:p>
    <w:p w14:paraId="5A9F8079">
      <w:pPr>
        <w:keepNext w:val="0"/>
        <w:keepLines w:val="0"/>
        <w:pageBreakBefore w:val="0"/>
        <w:widowControl/>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宋体" w:eastAsia="仿宋_GB2312" w:cs="仿宋_GB2312"/>
          <w:color w:val="auto"/>
          <w:kern w:val="0"/>
          <w:sz w:val="32"/>
          <w:szCs w:val="32"/>
          <w:highlight w:val="none"/>
          <w:lang w:bidi="ar"/>
        </w:rPr>
      </w:pPr>
    </w:p>
    <w:p w14:paraId="34574054">
      <w:pPr>
        <w:spacing w:before="133" w:line="207" w:lineRule="auto"/>
        <w:jc w:val="center"/>
        <w:rPr>
          <w:rFonts w:hint="eastAsia" w:ascii="黑体" w:hAnsi="黑体" w:eastAsia="黑体" w:cs="黑体"/>
          <w:spacing w:val="5"/>
          <w:sz w:val="32"/>
          <w:szCs w:val="32"/>
        </w:rPr>
      </w:pPr>
      <w:r>
        <w:rPr>
          <w:rFonts w:hint="eastAsia" w:ascii="黑体" w:hAnsi="黑体" w:eastAsia="黑体" w:cs="黑体"/>
          <w:spacing w:val="5"/>
          <w:sz w:val="32"/>
          <w:szCs w:val="32"/>
        </w:rPr>
        <w:t>第九章</w:t>
      </w:r>
      <w:r>
        <w:rPr>
          <w:rFonts w:hint="eastAsia" w:ascii="黑体" w:hAnsi="黑体" w:eastAsia="黑体" w:cs="黑体"/>
          <w:spacing w:val="21"/>
          <w:sz w:val="32"/>
          <w:szCs w:val="32"/>
        </w:rPr>
        <w:t xml:space="preserve">   </w:t>
      </w:r>
      <w:r>
        <w:rPr>
          <w:rFonts w:hint="eastAsia" w:ascii="黑体" w:hAnsi="黑体" w:eastAsia="黑体" w:cs="黑体"/>
          <w:spacing w:val="5"/>
          <w:sz w:val="32"/>
          <w:szCs w:val="32"/>
        </w:rPr>
        <w:t>附则</w:t>
      </w:r>
      <w:bookmarkStart w:id="0" w:name="_GoBack"/>
      <w:bookmarkEnd w:id="0"/>
    </w:p>
    <w:p w14:paraId="7574CA34">
      <w:pPr>
        <w:pStyle w:val="3"/>
        <w:widowControl/>
        <w:kinsoku w:val="0"/>
        <w:autoSpaceDE w:val="0"/>
        <w:autoSpaceDN w:val="0"/>
        <w:adjustRightInd w:val="0"/>
        <w:snapToGrid w:val="0"/>
        <w:spacing w:line="303" w:lineRule="auto"/>
        <w:jc w:val="left"/>
        <w:textAlignment w:val="baseline"/>
        <w:rPr>
          <w:rFonts w:hint="eastAsia" w:ascii="仿宋_GB2312" w:hAnsi="宋体" w:eastAsia="仿宋_GB2312" w:cs="仿宋_GB2312"/>
          <w:color w:val="auto"/>
          <w:kern w:val="0"/>
          <w:sz w:val="32"/>
          <w:szCs w:val="32"/>
          <w:highlight w:val="none"/>
          <w:lang w:bidi="ar"/>
        </w:rPr>
      </w:pPr>
    </w:p>
    <w:p w14:paraId="7A3F75E2">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eastAsia="仿宋_GB2312"/>
          <w:color w:val="auto"/>
          <w:sz w:val="32"/>
          <w:szCs w:val="32"/>
          <w:highlight w:val="none"/>
        </w:rPr>
      </w:pPr>
      <w:r>
        <w:rPr>
          <w:rFonts w:ascii="黑体" w:hAnsi="黑体" w:eastAsia="黑体" w:cs="黑体"/>
          <w:spacing w:val="5"/>
          <w:sz w:val="31"/>
          <w:szCs w:val="31"/>
        </w:rPr>
        <w:t>第</w:t>
      </w:r>
      <w:r>
        <w:rPr>
          <w:rFonts w:hint="eastAsia" w:ascii="黑体" w:hAnsi="黑体" w:eastAsia="黑体" w:cs="黑体"/>
          <w:spacing w:val="5"/>
          <w:sz w:val="31"/>
          <w:szCs w:val="31"/>
          <w:lang w:eastAsia="zh-CN"/>
        </w:rPr>
        <w:t>二十一</w:t>
      </w:r>
      <w:r>
        <w:rPr>
          <w:rFonts w:ascii="黑体" w:hAnsi="黑体" w:eastAsia="黑体" w:cs="黑体"/>
          <w:spacing w:val="5"/>
          <w:sz w:val="31"/>
          <w:szCs w:val="31"/>
        </w:rPr>
        <w:t>条</w:t>
      </w:r>
      <w:r>
        <w:rPr>
          <w:rFonts w:hint="eastAsia" w:ascii="黑体" w:hAnsi="黑体" w:eastAsia="黑体" w:cs="黑体"/>
          <w:spacing w:val="5"/>
          <w:sz w:val="31"/>
          <w:szCs w:val="31"/>
          <w:lang w:val="en-US" w:eastAsia="zh-CN"/>
        </w:rPr>
        <w:t xml:space="preserve">  </w:t>
      </w:r>
      <w:r>
        <w:rPr>
          <w:rFonts w:hint="eastAsia" w:ascii="仿宋_GB2312" w:hAnsi="宋体" w:eastAsia="仿宋_GB2312" w:cs="仿宋_GB2312"/>
          <w:color w:val="auto"/>
          <w:kern w:val="0"/>
          <w:sz w:val="32"/>
          <w:szCs w:val="32"/>
          <w:highlight w:val="none"/>
          <w:lang w:bidi="ar"/>
        </w:rPr>
        <w:t>本办法未尽事宜，按照国家、</w:t>
      </w:r>
      <w:r>
        <w:rPr>
          <w:rFonts w:hint="eastAsia" w:eastAsia="仿宋_GB2312"/>
          <w:color w:val="auto"/>
          <w:sz w:val="32"/>
          <w:szCs w:val="32"/>
          <w:highlight w:val="none"/>
        </w:rPr>
        <w:t>省、市有关规定执行，本办法由区</w:t>
      </w:r>
      <w:r>
        <w:rPr>
          <w:rFonts w:hint="eastAsia" w:eastAsia="仿宋_GB2312"/>
          <w:color w:val="auto"/>
          <w:sz w:val="32"/>
          <w:szCs w:val="32"/>
          <w:highlight w:val="none"/>
          <w:lang w:eastAsia="zh-CN"/>
        </w:rPr>
        <w:t>社会事业局</w:t>
      </w:r>
      <w:r>
        <w:rPr>
          <w:rFonts w:hint="eastAsia" w:eastAsia="仿宋_GB2312"/>
          <w:color w:val="auto"/>
          <w:sz w:val="32"/>
          <w:szCs w:val="32"/>
          <w:highlight w:val="none"/>
        </w:rPr>
        <w:t>、区经济发展局、区财政金融局和区市场监督管理局负责</w:t>
      </w:r>
      <w:r>
        <w:rPr>
          <w:rFonts w:hint="eastAsia" w:eastAsia="仿宋_GB2312"/>
          <w:color w:val="auto"/>
          <w:sz w:val="32"/>
          <w:szCs w:val="32"/>
          <w:highlight w:val="none"/>
          <w:lang w:eastAsia="zh-CN"/>
        </w:rPr>
        <w:t>解释、</w:t>
      </w:r>
      <w:r>
        <w:rPr>
          <w:rFonts w:hint="eastAsia" w:eastAsia="仿宋_GB2312"/>
          <w:color w:val="auto"/>
          <w:sz w:val="32"/>
          <w:szCs w:val="32"/>
          <w:highlight w:val="none"/>
        </w:rPr>
        <w:t>组织实施。</w:t>
      </w:r>
    </w:p>
    <w:p w14:paraId="6F9A6B84">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eastAsia="仿宋_GB2312" w:cs="Times New Roman"/>
          <w:color w:val="auto"/>
          <w:sz w:val="32"/>
          <w:szCs w:val="32"/>
          <w:highlight w:val="none"/>
        </w:rPr>
      </w:pPr>
      <w:r>
        <w:rPr>
          <w:rFonts w:ascii="黑体" w:hAnsi="黑体" w:eastAsia="黑体" w:cs="黑体"/>
          <w:spacing w:val="5"/>
          <w:sz w:val="31"/>
          <w:szCs w:val="31"/>
        </w:rPr>
        <w:t>第</w:t>
      </w:r>
      <w:r>
        <w:rPr>
          <w:rFonts w:hint="eastAsia" w:ascii="黑体" w:hAnsi="黑体" w:eastAsia="黑体" w:cs="黑体"/>
          <w:spacing w:val="5"/>
          <w:sz w:val="31"/>
          <w:szCs w:val="31"/>
          <w:lang w:eastAsia="zh-CN"/>
        </w:rPr>
        <w:t>二十二</w:t>
      </w:r>
      <w:r>
        <w:rPr>
          <w:rFonts w:ascii="黑体" w:hAnsi="黑体" w:eastAsia="黑体" w:cs="黑体"/>
          <w:spacing w:val="5"/>
          <w:sz w:val="31"/>
          <w:szCs w:val="31"/>
        </w:rPr>
        <w:t>条</w:t>
      </w:r>
      <w:r>
        <w:rPr>
          <w:rFonts w:hint="eastAsia" w:ascii="黑体" w:hAnsi="黑体" w:eastAsia="黑体" w:cs="黑体"/>
          <w:spacing w:val="5"/>
          <w:sz w:val="31"/>
          <w:szCs w:val="31"/>
          <w:lang w:val="en-US" w:eastAsia="zh-CN"/>
        </w:rPr>
        <w:t xml:space="preserve">  </w:t>
      </w:r>
      <w:r>
        <w:rPr>
          <w:rFonts w:hint="eastAsia" w:eastAsia="仿宋_GB2312" w:cs="Times New Roman"/>
          <w:color w:val="auto"/>
          <w:sz w:val="32"/>
          <w:szCs w:val="32"/>
          <w:highlight w:val="none"/>
          <w:lang w:eastAsia="zh-CN"/>
        </w:rPr>
        <w:t>本办</w:t>
      </w:r>
      <w:r>
        <w:rPr>
          <w:rFonts w:hint="eastAsia" w:eastAsia="仿宋_GB2312" w:cs="Times New Roman"/>
          <w:color w:val="auto"/>
          <w:sz w:val="32"/>
          <w:szCs w:val="32"/>
          <w:highlight w:val="none"/>
        </w:rPr>
        <w:t>法实施期间，如遇本办法规定与国家、省、市、区新颁布实施的法律、法规、规章或上级规范性文件不一致的，按照上位法优于下位法、新法优于旧法</w:t>
      </w:r>
      <w:r>
        <w:rPr>
          <w:rFonts w:hint="eastAsia" w:eastAsia="仿宋_GB2312" w:cs="Times New Roman"/>
          <w:color w:val="auto"/>
          <w:sz w:val="32"/>
          <w:szCs w:val="32"/>
          <w:highlight w:val="none"/>
          <w:lang w:eastAsia="zh-CN"/>
        </w:rPr>
        <w:t>、新规定优于旧规定的</w:t>
      </w:r>
      <w:r>
        <w:rPr>
          <w:rFonts w:hint="eastAsia" w:eastAsia="仿宋_GB2312" w:cs="Times New Roman"/>
          <w:color w:val="auto"/>
          <w:sz w:val="32"/>
          <w:szCs w:val="32"/>
          <w:highlight w:val="none"/>
        </w:rPr>
        <w:t>原则执行。当新出台规定导致本办法相关条款与上位法相抵触或无法继续实施时，本办法相关条款自动失效。区</w:t>
      </w:r>
      <w:r>
        <w:rPr>
          <w:rFonts w:hint="eastAsia" w:eastAsia="仿宋_GB2312" w:cs="Times New Roman"/>
          <w:color w:val="auto"/>
          <w:sz w:val="32"/>
          <w:szCs w:val="32"/>
          <w:highlight w:val="none"/>
          <w:lang w:eastAsia="zh-CN"/>
        </w:rPr>
        <w:t>社会事业局</w:t>
      </w:r>
      <w:r>
        <w:rPr>
          <w:rFonts w:hint="eastAsia" w:eastAsia="仿宋_GB2312" w:cs="Times New Roman"/>
          <w:color w:val="auto"/>
          <w:sz w:val="32"/>
          <w:szCs w:val="32"/>
          <w:highlight w:val="none"/>
        </w:rPr>
        <w:t>应当依据新的法规政策要求，会同相关部门启动本办法的修订或废止程序。</w:t>
      </w:r>
    </w:p>
    <w:p w14:paraId="121B9015">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color w:val="auto"/>
          <w:sz w:val="32"/>
          <w:szCs w:val="32"/>
          <w:highlight w:val="none"/>
          <w:lang w:val="en-US"/>
        </w:rPr>
      </w:pPr>
      <w:r>
        <w:rPr>
          <w:rFonts w:ascii="黑体" w:hAnsi="黑体" w:eastAsia="黑体" w:cs="黑体"/>
          <w:spacing w:val="5"/>
          <w:sz w:val="31"/>
          <w:szCs w:val="31"/>
        </w:rPr>
        <w:t>第</w:t>
      </w:r>
      <w:r>
        <w:rPr>
          <w:rFonts w:hint="eastAsia" w:ascii="黑体" w:hAnsi="黑体" w:eastAsia="黑体" w:cs="黑体"/>
          <w:spacing w:val="5"/>
          <w:sz w:val="31"/>
          <w:szCs w:val="31"/>
          <w:lang w:eastAsia="zh-CN"/>
        </w:rPr>
        <w:t>二十三</w:t>
      </w:r>
      <w:r>
        <w:rPr>
          <w:rFonts w:ascii="黑体" w:hAnsi="黑体" w:eastAsia="黑体" w:cs="黑体"/>
          <w:spacing w:val="5"/>
          <w:sz w:val="31"/>
          <w:szCs w:val="31"/>
        </w:rPr>
        <w:t>条</w:t>
      </w:r>
      <w:r>
        <w:rPr>
          <w:rFonts w:hint="eastAsia" w:ascii="黑体" w:hAnsi="黑体" w:eastAsia="黑体" w:cs="黑体"/>
          <w:spacing w:val="5"/>
          <w:sz w:val="31"/>
          <w:szCs w:val="31"/>
          <w:lang w:val="en-US" w:eastAsia="zh-CN"/>
        </w:rPr>
        <w:t xml:space="preserve">  </w:t>
      </w:r>
      <w:r>
        <w:rPr>
          <w:rFonts w:hint="eastAsia" w:ascii="仿宋_GB2312" w:hAnsi="仿宋_GB2312" w:eastAsia="仿宋_GB2312" w:cs="仿宋_GB2312"/>
          <w:color w:val="auto"/>
          <w:sz w:val="32"/>
          <w:szCs w:val="32"/>
          <w:highlight w:val="none"/>
          <w:lang w:eastAsia="zh-CN"/>
        </w:rPr>
        <w:t>本办法自</w:t>
      </w:r>
      <w:r>
        <w:rPr>
          <w:rFonts w:hint="eastAsia" w:ascii="仿宋_GB2312" w:hAnsi="仿宋_GB2312" w:cs="仿宋_GB2312"/>
          <w:color w:val="auto"/>
          <w:sz w:val="32"/>
          <w:szCs w:val="32"/>
          <w:highlight w:val="none"/>
          <w:lang w:val="en-US" w:eastAsia="zh-CN"/>
        </w:rPr>
        <w:t xml:space="preserve">2026年9月  </w:t>
      </w:r>
      <w:r>
        <w:rPr>
          <w:rFonts w:hint="eastAsia" w:ascii="仿宋_GB2312" w:hAnsi="仿宋_GB2312" w:eastAsia="仿宋_GB2312" w:cs="仿宋_GB2312"/>
          <w:color w:val="auto"/>
          <w:sz w:val="32"/>
          <w:szCs w:val="32"/>
          <w:highlight w:val="none"/>
          <w:lang w:eastAsia="zh-CN"/>
        </w:rPr>
        <w:t>日起</w:t>
      </w:r>
      <w:r>
        <w:rPr>
          <w:rFonts w:hint="eastAsia" w:ascii="仿宋_GB2312" w:hAnsi="仿宋_GB2312" w:cs="仿宋_GB2312"/>
          <w:color w:val="auto"/>
          <w:sz w:val="32"/>
          <w:szCs w:val="32"/>
          <w:highlight w:val="none"/>
          <w:lang w:eastAsia="zh-CN"/>
        </w:rPr>
        <w:t>施行，</w:t>
      </w:r>
      <w:r>
        <w:rPr>
          <w:rFonts w:hint="eastAsia" w:ascii="仿宋_GB2312" w:hAnsi="仿宋_GB2312" w:cs="仿宋_GB2312"/>
          <w:color w:val="auto"/>
          <w:sz w:val="32"/>
          <w:szCs w:val="32"/>
          <w:highlight w:val="none"/>
          <w:lang w:val="en-US" w:eastAsia="zh-CN"/>
        </w:rPr>
        <w:t>2025年6月20日至2026年   月   日内高区普惠性民办幼儿园认定、政策保障、监督管理、退出机制等全部适用本办法规定。</w:t>
      </w:r>
    </w:p>
    <w:p w14:paraId="183714A1">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rPr>
      </w:pPr>
    </w:p>
    <w:p w14:paraId="25E9195E">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cs="仿宋_GB2312"/>
          <w:color w:val="auto"/>
          <w:sz w:val="32"/>
          <w:szCs w:val="32"/>
          <w:highlight w:val="none"/>
          <w:lang w:eastAsia="zh-CN"/>
        </w:rPr>
      </w:pPr>
    </w:p>
    <w:p w14:paraId="04E613AF">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cs="仿宋_GB2312"/>
          <w:color w:val="auto"/>
          <w:sz w:val="32"/>
          <w:szCs w:val="32"/>
          <w:highlight w:val="none"/>
          <w:lang w:eastAsia="zh-CN"/>
        </w:rPr>
      </w:pPr>
    </w:p>
    <w:p w14:paraId="0C75D7F5">
      <w:pPr>
        <w:keepNext w:val="0"/>
        <w:keepLines w:val="0"/>
        <w:pageBreakBefore w:val="0"/>
        <w:kinsoku/>
        <w:wordWrap/>
        <w:overflowPunct/>
        <w:topLinePunct w:val="0"/>
        <w:autoSpaceDE/>
        <w:autoSpaceDN/>
        <w:bidi w:val="0"/>
        <w:adjustRightInd/>
        <w:snapToGrid/>
        <w:spacing w:line="300" w:lineRule="exact"/>
        <w:jc w:val="both"/>
        <w:rPr>
          <w:rFonts w:ascii="Times New Roman" w:hAnsi="Times New Roman" w:eastAsia="方正小标宋简体" w:cs="Times New Roman"/>
          <w:color w:val="auto"/>
          <w:sz w:val="32"/>
          <w:szCs w:val="32"/>
        </w:rPr>
      </w:pPr>
    </w:p>
    <w:p w14:paraId="40A5F7DA">
      <w:pPr>
        <w:keepNext w:val="0"/>
        <w:keepLines w:val="0"/>
        <w:pageBreakBefore w:val="0"/>
        <w:kinsoku/>
        <w:wordWrap/>
        <w:overflowPunct/>
        <w:topLinePunct w:val="0"/>
        <w:autoSpaceDE/>
        <w:autoSpaceDN/>
        <w:bidi w:val="0"/>
        <w:adjustRightInd/>
        <w:snapToGrid/>
        <w:spacing w:line="300" w:lineRule="exact"/>
        <w:jc w:val="both"/>
        <w:rPr>
          <w:rFonts w:ascii="Times New Roman" w:hAnsi="Times New Roman" w:eastAsia="方正小标宋简体" w:cs="Times New Roman"/>
          <w:color w:val="auto"/>
          <w:sz w:val="32"/>
          <w:szCs w:val="32"/>
        </w:rPr>
      </w:pPr>
    </w:p>
    <w:p w14:paraId="51D2F9CA">
      <w:pPr>
        <w:keepNext w:val="0"/>
        <w:keepLines w:val="0"/>
        <w:pageBreakBefore w:val="0"/>
        <w:kinsoku/>
        <w:wordWrap/>
        <w:overflowPunct/>
        <w:topLinePunct w:val="0"/>
        <w:autoSpaceDE/>
        <w:autoSpaceDN/>
        <w:bidi w:val="0"/>
        <w:adjustRightInd/>
        <w:snapToGrid/>
        <w:spacing w:line="300" w:lineRule="exact"/>
        <w:jc w:val="both"/>
        <w:rPr>
          <w:rFonts w:ascii="Times New Roman" w:hAnsi="Times New Roman" w:eastAsia="方正小标宋简体" w:cs="Times New Roman"/>
          <w:color w:val="auto"/>
          <w:sz w:val="32"/>
          <w:szCs w:val="32"/>
        </w:rPr>
      </w:pPr>
    </w:p>
    <w:p w14:paraId="3A8B994F">
      <w:pPr>
        <w:keepNext w:val="0"/>
        <w:keepLines w:val="0"/>
        <w:pageBreakBefore w:val="0"/>
        <w:kinsoku/>
        <w:wordWrap/>
        <w:overflowPunct/>
        <w:topLinePunct w:val="0"/>
        <w:autoSpaceDE/>
        <w:autoSpaceDN/>
        <w:bidi w:val="0"/>
        <w:adjustRightInd/>
        <w:snapToGrid/>
        <w:spacing w:line="300" w:lineRule="exact"/>
        <w:jc w:val="both"/>
        <w:rPr>
          <w:rFonts w:ascii="Times New Roman" w:hAnsi="Times New Roman" w:eastAsia="方正小标宋简体" w:cs="Times New Roman"/>
          <w:color w:val="auto"/>
          <w:sz w:val="32"/>
          <w:szCs w:val="32"/>
        </w:rPr>
      </w:pPr>
    </w:p>
    <w:p w14:paraId="130F9F66">
      <w:pPr>
        <w:keepNext w:val="0"/>
        <w:keepLines w:val="0"/>
        <w:pageBreakBefore w:val="0"/>
        <w:kinsoku/>
        <w:wordWrap/>
        <w:overflowPunct/>
        <w:topLinePunct w:val="0"/>
        <w:autoSpaceDE/>
        <w:autoSpaceDN/>
        <w:bidi w:val="0"/>
        <w:adjustRightInd/>
        <w:snapToGrid/>
        <w:spacing w:line="300" w:lineRule="exact"/>
        <w:jc w:val="both"/>
        <w:rPr>
          <w:rFonts w:ascii="Times New Roman" w:hAnsi="Times New Roman" w:eastAsia="方正小标宋简体" w:cs="Times New Roman"/>
          <w:color w:val="auto"/>
          <w:sz w:val="32"/>
          <w:szCs w:val="32"/>
        </w:rPr>
      </w:pPr>
    </w:p>
    <w:p w14:paraId="2B46304F">
      <w:pPr>
        <w:keepNext w:val="0"/>
        <w:keepLines w:val="0"/>
        <w:pageBreakBefore w:val="0"/>
        <w:kinsoku/>
        <w:wordWrap/>
        <w:overflowPunct/>
        <w:topLinePunct w:val="0"/>
        <w:autoSpaceDE/>
        <w:autoSpaceDN/>
        <w:bidi w:val="0"/>
        <w:adjustRightInd/>
        <w:snapToGrid/>
        <w:spacing w:line="300" w:lineRule="exact"/>
        <w:jc w:val="both"/>
        <w:rPr>
          <w:rFonts w:ascii="Times New Roman" w:hAnsi="Times New Roman" w:eastAsia="方正小标宋简体" w:cs="Times New Roman"/>
          <w:color w:val="auto"/>
          <w:sz w:val="32"/>
          <w:szCs w:val="32"/>
        </w:rPr>
      </w:pPr>
    </w:p>
    <w:p w14:paraId="7ACD9664">
      <w:pPr>
        <w:keepNext w:val="0"/>
        <w:keepLines w:val="0"/>
        <w:pageBreakBefore w:val="0"/>
        <w:kinsoku/>
        <w:wordWrap/>
        <w:overflowPunct/>
        <w:topLinePunct w:val="0"/>
        <w:autoSpaceDE/>
        <w:autoSpaceDN/>
        <w:bidi w:val="0"/>
        <w:adjustRightInd/>
        <w:snapToGrid/>
        <w:spacing w:line="300" w:lineRule="exact"/>
        <w:jc w:val="both"/>
        <w:rPr>
          <w:rFonts w:ascii="Times New Roman" w:hAnsi="Times New Roman" w:eastAsia="方正小标宋简体" w:cs="Times New Roman"/>
          <w:color w:val="auto"/>
          <w:sz w:val="32"/>
          <w:szCs w:val="32"/>
        </w:rPr>
      </w:pPr>
    </w:p>
    <w:p w14:paraId="696076A3">
      <w:pPr>
        <w:keepNext w:val="0"/>
        <w:keepLines w:val="0"/>
        <w:pageBreakBefore w:val="0"/>
        <w:kinsoku/>
        <w:wordWrap/>
        <w:overflowPunct/>
        <w:topLinePunct w:val="0"/>
        <w:autoSpaceDE/>
        <w:autoSpaceDN/>
        <w:bidi w:val="0"/>
        <w:adjustRightInd/>
        <w:snapToGrid/>
        <w:spacing w:line="300" w:lineRule="exact"/>
        <w:jc w:val="both"/>
        <w:rPr>
          <w:rFonts w:ascii="Times New Roman" w:hAnsi="Times New Roman" w:eastAsia="方正小标宋简体" w:cs="Times New Roman"/>
          <w:color w:val="auto"/>
          <w:sz w:val="32"/>
          <w:szCs w:val="32"/>
        </w:rPr>
      </w:pPr>
    </w:p>
    <w:p w14:paraId="12EE8D1F">
      <w:pPr>
        <w:keepNext w:val="0"/>
        <w:keepLines w:val="0"/>
        <w:pageBreakBefore w:val="0"/>
        <w:kinsoku/>
        <w:wordWrap/>
        <w:overflowPunct/>
        <w:topLinePunct w:val="0"/>
        <w:autoSpaceDE/>
        <w:autoSpaceDN/>
        <w:bidi w:val="0"/>
        <w:adjustRightInd/>
        <w:snapToGrid/>
        <w:spacing w:line="300" w:lineRule="exact"/>
        <w:jc w:val="both"/>
        <w:rPr>
          <w:rFonts w:ascii="Times New Roman" w:hAnsi="Times New Roman" w:eastAsia="方正小标宋简体" w:cs="Times New Roman"/>
          <w:color w:val="auto"/>
          <w:sz w:val="32"/>
          <w:szCs w:val="32"/>
        </w:rPr>
      </w:pPr>
    </w:p>
    <w:p w14:paraId="4E51FF92">
      <w:pPr>
        <w:keepNext w:val="0"/>
        <w:keepLines w:val="0"/>
        <w:pageBreakBefore w:val="0"/>
        <w:widowControl w:val="0"/>
        <w:tabs>
          <w:tab w:val="left" w:pos="7084"/>
        </w:tabs>
        <w:kinsoku/>
        <w:wordWrap/>
        <w:overflowPunct/>
        <w:topLinePunct w:val="0"/>
        <w:autoSpaceDN/>
        <w:bidi w:val="0"/>
        <w:adjustRightInd/>
        <w:snapToGrid/>
        <w:spacing w:line="560" w:lineRule="exact"/>
        <w:jc w:val="left"/>
        <w:textAlignment w:val="auto"/>
        <w:rPr>
          <w:rFonts w:hint="default"/>
          <w:lang w:val="en-US" w:eastAsia="zh-CN"/>
        </w:rPr>
      </w:pPr>
    </w:p>
    <w:p w14:paraId="75FACF0F">
      <w:pPr>
        <w:keepNext w:val="0"/>
        <w:keepLines w:val="0"/>
        <w:pageBreakBefore w:val="0"/>
        <w:widowControl w:val="0"/>
        <w:tabs>
          <w:tab w:val="left" w:pos="7084"/>
        </w:tabs>
        <w:kinsoku/>
        <w:wordWrap/>
        <w:overflowPunct/>
        <w:topLinePunct w:val="0"/>
        <w:autoSpaceDN/>
        <w:bidi w:val="0"/>
        <w:adjustRightInd/>
        <w:snapToGrid/>
        <w:spacing w:line="560" w:lineRule="exact"/>
        <w:jc w:val="left"/>
        <w:textAlignment w:val="auto"/>
        <w:rPr>
          <w:rFonts w:hint="default"/>
          <w:lang w:val="en-US" w:eastAsia="zh-CN"/>
        </w:rPr>
      </w:pPr>
    </w:p>
    <w:p w14:paraId="6A9C5D3C">
      <w:pPr>
        <w:keepNext w:val="0"/>
        <w:keepLines w:val="0"/>
        <w:pageBreakBefore w:val="0"/>
        <w:widowControl w:val="0"/>
        <w:tabs>
          <w:tab w:val="left" w:pos="7084"/>
        </w:tabs>
        <w:kinsoku/>
        <w:wordWrap/>
        <w:overflowPunct/>
        <w:topLinePunct w:val="0"/>
        <w:autoSpaceDN/>
        <w:bidi w:val="0"/>
        <w:adjustRightInd/>
        <w:snapToGrid/>
        <w:spacing w:line="560" w:lineRule="exact"/>
        <w:jc w:val="left"/>
        <w:textAlignment w:val="auto"/>
        <w:rPr>
          <w:rFonts w:hint="default"/>
          <w:lang w:val="en-US" w:eastAsia="zh-CN"/>
        </w:rPr>
      </w:pPr>
    </w:p>
    <w:p w14:paraId="3E6C24BD">
      <w:pPr>
        <w:pStyle w:val="2"/>
        <w:rPr>
          <w:rFonts w:hint="default"/>
          <w:lang w:val="en-US" w:eastAsia="zh-CN"/>
        </w:rPr>
      </w:pPr>
    </w:p>
    <w:sectPr>
      <w:footerReference r:id="rId3" w:type="default"/>
      <w:pgSz w:w="11906" w:h="16838"/>
      <w:pgMar w:top="2098" w:right="1474" w:bottom="1984" w:left="1587" w:header="850" w:footer="1134" w:gutter="0"/>
      <w:pgNumType w:fmt="decimal"/>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9ECD9">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CC87CE">
                          <w:pPr>
                            <w:pStyle w:val="7"/>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ECC87CE">
                    <w:pPr>
                      <w:pStyle w:val="7"/>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0874D256">
    <w:pPr>
      <w:pStyle w:val="7"/>
      <w:keepNext w:val="0"/>
      <w:keepLines w:val="0"/>
      <w:pageBreakBefore w:val="0"/>
      <w:widowControl w:val="0"/>
      <w:tabs>
        <w:tab w:val="left" w:pos="3669"/>
        <w:tab w:val="clear" w:pos="4153"/>
      </w:tabs>
      <w:kinsoku/>
      <w:wordWrap/>
      <w:overflowPunct/>
      <w:topLinePunct w:val="0"/>
      <w:autoSpaceDE/>
      <w:autoSpaceDN/>
      <w:bidi w:val="0"/>
      <w:adjustRightInd/>
      <w:snapToGrid w:val="0"/>
      <w:ind w:left="320" w:leftChars="100"/>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91E98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91E98A"/>
                </w:txbxContent>
              </v:textbox>
            </v:shape>
          </w:pict>
        </mc:Fallback>
      </mc:AlternateContent>
    </w:r>
  </w:p>
  <w:p w14:paraId="35E217E9">
    <w:pPr>
      <w:pStyle w:val="7"/>
      <w:keepNext w:val="0"/>
      <w:keepLines w:val="0"/>
      <w:pageBreakBefore w:val="0"/>
      <w:widowControl w:val="0"/>
      <w:kinsoku/>
      <w:wordWrap/>
      <w:overflowPunct/>
      <w:topLinePunct w:val="0"/>
      <w:autoSpaceDE/>
      <w:autoSpaceDN/>
      <w:bidi w:val="0"/>
      <w:adjustRightInd/>
      <w:snapToGrid w:val="0"/>
      <w:ind w:left="320" w:leftChars="100"/>
      <w:textAlignment w:val="auto"/>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xMGYyNGY2ZDVkMzkxMTM1OWNjNmZhMmU1ZWNhOTEifQ=="/>
    <w:docVar w:name="KSO_WPS_MARK_KEY" w:val="5cc704f4-8b13-40a9-98d2-7c95f12ebdff"/>
  </w:docVars>
  <w:rsids>
    <w:rsidRoot w:val="004510A0"/>
    <w:rsid w:val="0004088F"/>
    <w:rsid w:val="00040D5F"/>
    <w:rsid w:val="000870DF"/>
    <w:rsid w:val="000A1533"/>
    <w:rsid w:val="000A1CB0"/>
    <w:rsid w:val="000C0740"/>
    <w:rsid w:val="000D3AD8"/>
    <w:rsid w:val="000E2817"/>
    <w:rsid w:val="00105C74"/>
    <w:rsid w:val="00110A7E"/>
    <w:rsid w:val="00121868"/>
    <w:rsid w:val="00122DD4"/>
    <w:rsid w:val="00141C3D"/>
    <w:rsid w:val="0015139C"/>
    <w:rsid w:val="00194315"/>
    <w:rsid w:val="001F3F2E"/>
    <w:rsid w:val="002046C2"/>
    <w:rsid w:val="00237F27"/>
    <w:rsid w:val="00250C19"/>
    <w:rsid w:val="00272AC1"/>
    <w:rsid w:val="00275EC9"/>
    <w:rsid w:val="002808AA"/>
    <w:rsid w:val="00295205"/>
    <w:rsid w:val="002C20CF"/>
    <w:rsid w:val="003209B0"/>
    <w:rsid w:val="003500DE"/>
    <w:rsid w:val="00357430"/>
    <w:rsid w:val="0038390B"/>
    <w:rsid w:val="00383E17"/>
    <w:rsid w:val="00390B82"/>
    <w:rsid w:val="00392EBE"/>
    <w:rsid w:val="003A1D43"/>
    <w:rsid w:val="003A245B"/>
    <w:rsid w:val="003C3473"/>
    <w:rsid w:val="003C53E5"/>
    <w:rsid w:val="003D04BA"/>
    <w:rsid w:val="003E1FD9"/>
    <w:rsid w:val="003E4C94"/>
    <w:rsid w:val="003E6C6D"/>
    <w:rsid w:val="003F31A0"/>
    <w:rsid w:val="003F44E0"/>
    <w:rsid w:val="003F5B77"/>
    <w:rsid w:val="00410163"/>
    <w:rsid w:val="0041139B"/>
    <w:rsid w:val="00425098"/>
    <w:rsid w:val="00431FC5"/>
    <w:rsid w:val="004510A0"/>
    <w:rsid w:val="00453576"/>
    <w:rsid w:val="00454621"/>
    <w:rsid w:val="004A1216"/>
    <w:rsid w:val="004B2F40"/>
    <w:rsid w:val="004C5931"/>
    <w:rsid w:val="004D6ECB"/>
    <w:rsid w:val="004F3DA8"/>
    <w:rsid w:val="004F4D09"/>
    <w:rsid w:val="004F6A58"/>
    <w:rsid w:val="005633C2"/>
    <w:rsid w:val="005B1B10"/>
    <w:rsid w:val="005C7A5A"/>
    <w:rsid w:val="005C7FFA"/>
    <w:rsid w:val="005D1C3D"/>
    <w:rsid w:val="005E1A29"/>
    <w:rsid w:val="005F307D"/>
    <w:rsid w:val="006038B4"/>
    <w:rsid w:val="00630D89"/>
    <w:rsid w:val="00631AE7"/>
    <w:rsid w:val="00651F80"/>
    <w:rsid w:val="006630AA"/>
    <w:rsid w:val="006A1F8C"/>
    <w:rsid w:val="006A3231"/>
    <w:rsid w:val="006D7BFB"/>
    <w:rsid w:val="006E578E"/>
    <w:rsid w:val="00703284"/>
    <w:rsid w:val="00706BAE"/>
    <w:rsid w:val="007229A7"/>
    <w:rsid w:val="00752C34"/>
    <w:rsid w:val="00770091"/>
    <w:rsid w:val="00771CCA"/>
    <w:rsid w:val="007900F6"/>
    <w:rsid w:val="007E7390"/>
    <w:rsid w:val="007F0E26"/>
    <w:rsid w:val="00825BF8"/>
    <w:rsid w:val="00847DF5"/>
    <w:rsid w:val="008B2B7E"/>
    <w:rsid w:val="008D7073"/>
    <w:rsid w:val="008E21D7"/>
    <w:rsid w:val="008F32CD"/>
    <w:rsid w:val="009110DB"/>
    <w:rsid w:val="009401A5"/>
    <w:rsid w:val="0094664C"/>
    <w:rsid w:val="00975ED6"/>
    <w:rsid w:val="00996DAA"/>
    <w:rsid w:val="009B33F8"/>
    <w:rsid w:val="009B6576"/>
    <w:rsid w:val="009C630C"/>
    <w:rsid w:val="009E3FF9"/>
    <w:rsid w:val="009F17DB"/>
    <w:rsid w:val="00A03751"/>
    <w:rsid w:val="00A1362C"/>
    <w:rsid w:val="00A3395F"/>
    <w:rsid w:val="00A37AD7"/>
    <w:rsid w:val="00A8189B"/>
    <w:rsid w:val="00A97362"/>
    <w:rsid w:val="00AA0857"/>
    <w:rsid w:val="00AB5C02"/>
    <w:rsid w:val="00AC0C08"/>
    <w:rsid w:val="00AD5E26"/>
    <w:rsid w:val="00B1603D"/>
    <w:rsid w:val="00B24589"/>
    <w:rsid w:val="00B550C9"/>
    <w:rsid w:val="00B558FD"/>
    <w:rsid w:val="00B56C86"/>
    <w:rsid w:val="00B740EA"/>
    <w:rsid w:val="00B8531E"/>
    <w:rsid w:val="00BD79A0"/>
    <w:rsid w:val="00BF4191"/>
    <w:rsid w:val="00C03BF8"/>
    <w:rsid w:val="00C27A3B"/>
    <w:rsid w:val="00C54A31"/>
    <w:rsid w:val="00C8678B"/>
    <w:rsid w:val="00CB7BAC"/>
    <w:rsid w:val="00CC14DF"/>
    <w:rsid w:val="00CC39CE"/>
    <w:rsid w:val="00CD36E9"/>
    <w:rsid w:val="00CE2A86"/>
    <w:rsid w:val="00CF1104"/>
    <w:rsid w:val="00D0667D"/>
    <w:rsid w:val="00D07BD3"/>
    <w:rsid w:val="00D313E3"/>
    <w:rsid w:val="00D60AC4"/>
    <w:rsid w:val="00D81AAD"/>
    <w:rsid w:val="00D86152"/>
    <w:rsid w:val="00DA1AAF"/>
    <w:rsid w:val="00DB13B6"/>
    <w:rsid w:val="00DD7F7D"/>
    <w:rsid w:val="00E01693"/>
    <w:rsid w:val="00E36BF6"/>
    <w:rsid w:val="00E777A3"/>
    <w:rsid w:val="00E77EC1"/>
    <w:rsid w:val="00EA05A1"/>
    <w:rsid w:val="00EB4C6F"/>
    <w:rsid w:val="00EC43EB"/>
    <w:rsid w:val="00EC5954"/>
    <w:rsid w:val="00EC70E4"/>
    <w:rsid w:val="00ED768C"/>
    <w:rsid w:val="00F44AF2"/>
    <w:rsid w:val="00F47CF0"/>
    <w:rsid w:val="00F75278"/>
    <w:rsid w:val="00FA274C"/>
    <w:rsid w:val="01862813"/>
    <w:rsid w:val="01E23AD2"/>
    <w:rsid w:val="023016BF"/>
    <w:rsid w:val="02325358"/>
    <w:rsid w:val="02924A37"/>
    <w:rsid w:val="02A9251A"/>
    <w:rsid w:val="02DF61A1"/>
    <w:rsid w:val="02E60765"/>
    <w:rsid w:val="02FA479A"/>
    <w:rsid w:val="04784101"/>
    <w:rsid w:val="04CE6FC9"/>
    <w:rsid w:val="057E6738"/>
    <w:rsid w:val="0589221D"/>
    <w:rsid w:val="06257970"/>
    <w:rsid w:val="068837C4"/>
    <w:rsid w:val="06A92350"/>
    <w:rsid w:val="074248F0"/>
    <w:rsid w:val="079A4704"/>
    <w:rsid w:val="08591891"/>
    <w:rsid w:val="08A13C26"/>
    <w:rsid w:val="090711D8"/>
    <w:rsid w:val="09891609"/>
    <w:rsid w:val="0A3E552E"/>
    <w:rsid w:val="0A7A4AB4"/>
    <w:rsid w:val="0A832B14"/>
    <w:rsid w:val="0AA3234C"/>
    <w:rsid w:val="0AA7182B"/>
    <w:rsid w:val="0ADA5EC4"/>
    <w:rsid w:val="0B321BC7"/>
    <w:rsid w:val="0BB33D31"/>
    <w:rsid w:val="0CC94DD1"/>
    <w:rsid w:val="0CD52499"/>
    <w:rsid w:val="0D6E7E4F"/>
    <w:rsid w:val="0D8E04F1"/>
    <w:rsid w:val="0DDD7102"/>
    <w:rsid w:val="0E3177FA"/>
    <w:rsid w:val="0E366D72"/>
    <w:rsid w:val="0E3D2D66"/>
    <w:rsid w:val="0F92771F"/>
    <w:rsid w:val="0F996569"/>
    <w:rsid w:val="100706CE"/>
    <w:rsid w:val="106A5843"/>
    <w:rsid w:val="10FE021C"/>
    <w:rsid w:val="113F35FB"/>
    <w:rsid w:val="114974A1"/>
    <w:rsid w:val="1262700A"/>
    <w:rsid w:val="127562F7"/>
    <w:rsid w:val="12D2667A"/>
    <w:rsid w:val="14E13BA2"/>
    <w:rsid w:val="15122BD3"/>
    <w:rsid w:val="156B3533"/>
    <w:rsid w:val="15EE6408"/>
    <w:rsid w:val="167D02C1"/>
    <w:rsid w:val="16B56AEF"/>
    <w:rsid w:val="172B6731"/>
    <w:rsid w:val="173A3428"/>
    <w:rsid w:val="174B74C1"/>
    <w:rsid w:val="176D73C9"/>
    <w:rsid w:val="17A771EC"/>
    <w:rsid w:val="17EC4792"/>
    <w:rsid w:val="183B2908"/>
    <w:rsid w:val="197B507F"/>
    <w:rsid w:val="197F1004"/>
    <w:rsid w:val="19E003A1"/>
    <w:rsid w:val="1B0B56A3"/>
    <w:rsid w:val="1B8E1E38"/>
    <w:rsid w:val="1C8165F0"/>
    <w:rsid w:val="1D0766B9"/>
    <w:rsid w:val="1D1043C7"/>
    <w:rsid w:val="1DAA2F00"/>
    <w:rsid w:val="1DCE78C3"/>
    <w:rsid w:val="1DEA2DA2"/>
    <w:rsid w:val="1E253C50"/>
    <w:rsid w:val="1E2E6166"/>
    <w:rsid w:val="1E3476CA"/>
    <w:rsid w:val="1E9845F0"/>
    <w:rsid w:val="1F0D396C"/>
    <w:rsid w:val="1F902B98"/>
    <w:rsid w:val="1FC82246"/>
    <w:rsid w:val="1FD224BF"/>
    <w:rsid w:val="20326E4E"/>
    <w:rsid w:val="20CF419C"/>
    <w:rsid w:val="211F7B09"/>
    <w:rsid w:val="22791318"/>
    <w:rsid w:val="228020AB"/>
    <w:rsid w:val="2363674A"/>
    <w:rsid w:val="23B52E39"/>
    <w:rsid w:val="24AC1531"/>
    <w:rsid w:val="24C70119"/>
    <w:rsid w:val="25162E4E"/>
    <w:rsid w:val="25F211C5"/>
    <w:rsid w:val="25FA190B"/>
    <w:rsid w:val="260F714B"/>
    <w:rsid w:val="26914E82"/>
    <w:rsid w:val="26923A02"/>
    <w:rsid w:val="2849353B"/>
    <w:rsid w:val="28B11B5A"/>
    <w:rsid w:val="28FB3E28"/>
    <w:rsid w:val="2A021BF3"/>
    <w:rsid w:val="2A953BAC"/>
    <w:rsid w:val="2AF01EAB"/>
    <w:rsid w:val="2B667F60"/>
    <w:rsid w:val="2B87367B"/>
    <w:rsid w:val="2B977035"/>
    <w:rsid w:val="2BC058C2"/>
    <w:rsid w:val="2C57430E"/>
    <w:rsid w:val="2C6450C2"/>
    <w:rsid w:val="2CCE39AF"/>
    <w:rsid w:val="2CEB3D1D"/>
    <w:rsid w:val="2D1D723F"/>
    <w:rsid w:val="2D2E7E2D"/>
    <w:rsid w:val="2D9139BA"/>
    <w:rsid w:val="2DA82D81"/>
    <w:rsid w:val="2E925A60"/>
    <w:rsid w:val="2EE45BFB"/>
    <w:rsid w:val="2F1F4AF0"/>
    <w:rsid w:val="2F6D5D61"/>
    <w:rsid w:val="300A1B5D"/>
    <w:rsid w:val="3159290B"/>
    <w:rsid w:val="31702A3E"/>
    <w:rsid w:val="317F45DA"/>
    <w:rsid w:val="31C77130"/>
    <w:rsid w:val="32065AEF"/>
    <w:rsid w:val="324854D9"/>
    <w:rsid w:val="33B20421"/>
    <w:rsid w:val="340E4767"/>
    <w:rsid w:val="34315E96"/>
    <w:rsid w:val="34817BD5"/>
    <w:rsid w:val="34894B8C"/>
    <w:rsid w:val="359F29EC"/>
    <w:rsid w:val="362E62BC"/>
    <w:rsid w:val="36E760D6"/>
    <w:rsid w:val="3721111A"/>
    <w:rsid w:val="372B2984"/>
    <w:rsid w:val="37CF5664"/>
    <w:rsid w:val="37FD0F43"/>
    <w:rsid w:val="38106429"/>
    <w:rsid w:val="38540D83"/>
    <w:rsid w:val="38616FF9"/>
    <w:rsid w:val="388B000C"/>
    <w:rsid w:val="389B382D"/>
    <w:rsid w:val="389B604A"/>
    <w:rsid w:val="38B1218E"/>
    <w:rsid w:val="38EF1662"/>
    <w:rsid w:val="399B3C94"/>
    <w:rsid w:val="39F94DC1"/>
    <w:rsid w:val="3AAF1E47"/>
    <w:rsid w:val="3B451538"/>
    <w:rsid w:val="3B5129DA"/>
    <w:rsid w:val="3BD827B4"/>
    <w:rsid w:val="3C7A45EE"/>
    <w:rsid w:val="3C812C0C"/>
    <w:rsid w:val="3CC61D18"/>
    <w:rsid w:val="3CDD5599"/>
    <w:rsid w:val="3D407612"/>
    <w:rsid w:val="3DAC77AB"/>
    <w:rsid w:val="3E122342"/>
    <w:rsid w:val="3E263CAA"/>
    <w:rsid w:val="3EE4170A"/>
    <w:rsid w:val="3EE82DC3"/>
    <w:rsid w:val="3F0975AF"/>
    <w:rsid w:val="3FD06D4B"/>
    <w:rsid w:val="40624912"/>
    <w:rsid w:val="409D5822"/>
    <w:rsid w:val="41794E40"/>
    <w:rsid w:val="41E579D9"/>
    <w:rsid w:val="420A3BDE"/>
    <w:rsid w:val="429C6E7B"/>
    <w:rsid w:val="431D34E1"/>
    <w:rsid w:val="43A81AB4"/>
    <w:rsid w:val="443B09F9"/>
    <w:rsid w:val="4454738D"/>
    <w:rsid w:val="44C9538F"/>
    <w:rsid w:val="45364024"/>
    <w:rsid w:val="45D20F31"/>
    <w:rsid w:val="467A2DE5"/>
    <w:rsid w:val="46D25459"/>
    <w:rsid w:val="46D63C1F"/>
    <w:rsid w:val="47254E85"/>
    <w:rsid w:val="47A171C6"/>
    <w:rsid w:val="47E05D36"/>
    <w:rsid w:val="48254FD3"/>
    <w:rsid w:val="483B5D30"/>
    <w:rsid w:val="486E6FBE"/>
    <w:rsid w:val="48BF71D5"/>
    <w:rsid w:val="48C7608A"/>
    <w:rsid w:val="49171BF6"/>
    <w:rsid w:val="492D25D7"/>
    <w:rsid w:val="49475BE4"/>
    <w:rsid w:val="498F3518"/>
    <w:rsid w:val="4A3A59E0"/>
    <w:rsid w:val="4A600D50"/>
    <w:rsid w:val="4A637BA3"/>
    <w:rsid w:val="4AA50C98"/>
    <w:rsid w:val="4B1C2DF9"/>
    <w:rsid w:val="4B6D4C50"/>
    <w:rsid w:val="4B6F59C7"/>
    <w:rsid w:val="4C120670"/>
    <w:rsid w:val="4DA365F2"/>
    <w:rsid w:val="4DD75CF4"/>
    <w:rsid w:val="4EBD48C5"/>
    <w:rsid w:val="4F950A34"/>
    <w:rsid w:val="5087351F"/>
    <w:rsid w:val="5093636E"/>
    <w:rsid w:val="50CA38A2"/>
    <w:rsid w:val="510F6782"/>
    <w:rsid w:val="51AC22C1"/>
    <w:rsid w:val="51D37DBE"/>
    <w:rsid w:val="52630B65"/>
    <w:rsid w:val="52684F64"/>
    <w:rsid w:val="526C7532"/>
    <w:rsid w:val="52826A83"/>
    <w:rsid w:val="52EF0CF1"/>
    <w:rsid w:val="52F42206"/>
    <w:rsid w:val="52F905AE"/>
    <w:rsid w:val="53633805"/>
    <w:rsid w:val="55142657"/>
    <w:rsid w:val="55560CB5"/>
    <w:rsid w:val="55D03433"/>
    <w:rsid w:val="563C10A8"/>
    <w:rsid w:val="571B6219"/>
    <w:rsid w:val="571C57F3"/>
    <w:rsid w:val="57476BCA"/>
    <w:rsid w:val="577B107E"/>
    <w:rsid w:val="57BC671E"/>
    <w:rsid w:val="58276B45"/>
    <w:rsid w:val="599539F6"/>
    <w:rsid w:val="59BA1499"/>
    <w:rsid w:val="5AA721E1"/>
    <w:rsid w:val="5ABE03E7"/>
    <w:rsid w:val="5AEB3E5A"/>
    <w:rsid w:val="5C36012F"/>
    <w:rsid w:val="5D7A244B"/>
    <w:rsid w:val="5D9220AD"/>
    <w:rsid w:val="5E500310"/>
    <w:rsid w:val="5E5A299B"/>
    <w:rsid w:val="5E9F50C8"/>
    <w:rsid w:val="5F017D08"/>
    <w:rsid w:val="5F276226"/>
    <w:rsid w:val="5F9A2376"/>
    <w:rsid w:val="5FDC6069"/>
    <w:rsid w:val="600545A0"/>
    <w:rsid w:val="60261490"/>
    <w:rsid w:val="602B4889"/>
    <w:rsid w:val="603A7567"/>
    <w:rsid w:val="60566219"/>
    <w:rsid w:val="61227E69"/>
    <w:rsid w:val="619C4100"/>
    <w:rsid w:val="61A467EA"/>
    <w:rsid w:val="627A5473"/>
    <w:rsid w:val="62896737"/>
    <w:rsid w:val="62B3673C"/>
    <w:rsid w:val="62F83EC1"/>
    <w:rsid w:val="634405AB"/>
    <w:rsid w:val="6380609E"/>
    <w:rsid w:val="63943AC3"/>
    <w:rsid w:val="63D1441C"/>
    <w:rsid w:val="64004C4F"/>
    <w:rsid w:val="64800A01"/>
    <w:rsid w:val="65CC0E9B"/>
    <w:rsid w:val="65FC53D0"/>
    <w:rsid w:val="65FE6DA5"/>
    <w:rsid w:val="6645154B"/>
    <w:rsid w:val="667019D6"/>
    <w:rsid w:val="66D6087F"/>
    <w:rsid w:val="66DE3632"/>
    <w:rsid w:val="67020096"/>
    <w:rsid w:val="67042065"/>
    <w:rsid w:val="679C0EF5"/>
    <w:rsid w:val="680149E9"/>
    <w:rsid w:val="68444BA9"/>
    <w:rsid w:val="68567792"/>
    <w:rsid w:val="68622980"/>
    <w:rsid w:val="687A5F14"/>
    <w:rsid w:val="68B85DA0"/>
    <w:rsid w:val="68FF5C94"/>
    <w:rsid w:val="69135355"/>
    <w:rsid w:val="69354964"/>
    <w:rsid w:val="694C1F68"/>
    <w:rsid w:val="696A427D"/>
    <w:rsid w:val="699B6A4B"/>
    <w:rsid w:val="69E47DE5"/>
    <w:rsid w:val="6A2233A4"/>
    <w:rsid w:val="6B9B2E3E"/>
    <w:rsid w:val="6CCB0C5C"/>
    <w:rsid w:val="6D0D24F7"/>
    <w:rsid w:val="6D976CDD"/>
    <w:rsid w:val="6D9A59F1"/>
    <w:rsid w:val="6E27575F"/>
    <w:rsid w:val="6E753D0F"/>
    <w:rsid w:val="6EC34AE9"/>
    <w:rsid w:val="6F7C2E7B"/>
    <w:rsid w:val="70713E24"/>
    <w:rsid w:val="70BD1223"/>
    <w:rsid w:val="70E51B30"/>
    <w:rsid w:val="71863DCD"/>
    <w:rsid w:val="71905908"/>
    <w:rsid w:val="72046D85"/>
    <w:rsid w:val="73471451"/>
    <w:rsid w:val="73800168"/>
    <w:rsid w:val="7392594A"/>
    <w:rsid w:val="74075245"/>
    <w:rsid w:val="744E48C1"/>
    <w:rsid w:val="749C77C2"/>
    <w:rsid w:val="74C90E3E"/>
    <w:rsid w:val="751256B2"/>
    <w:rsid w:val="752404EF"/>
    <w:rsid w:val="752D5381"/>
    <w:rsid w:val="75D14CE0"/>
    <w:rsid w:val="76166B0C"/>
    <w:rsid w:val="76967A9F"/>
    <w:rsid w:val="78356836"/>
    <w:rsid w:val="78BE35D7"/>
    <w:rsid w:val="792507FC"/>
    <w:rsid w:val="79493B24"/>
    <w:rsid w:val="79636806"/>
    <w:rsid w:val="79C61EB7"/>
    <w:rsid w:val="79D342B7"/>
    <w:rsid w:val="7A765F12"/>
    <w:rsid w:val="7B0206C2"/>
    <w:rsid w:val="7BAF389E"/>
    <w:rsid w:val="7BF10983"/>
    <w:rsid w:val="7BFA30B9"/>
    <w:rsid w:val="7D2E49A0"/>
    <w:rsid w:val="7D30090E"/>
    <w:rsid w:val="7D375A56"/>
    <w:rsid w:val="7DD353E6"/>
    <w:rsid w:val="7E7E6C0F"/>
    <w:rsid w:val="7EE808B6"/>
    <w:rsid w:val="7F262255"/>
    <w:rsid w:val="7F4801D2"/>
    <w:rsid w:val="7F9255A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4"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qFormat/>
    <w:locked/>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index 4"/>
    <w:basedOn w:val="1"/>
    <w:next w:val="1"/>
    <w:qFormat/>
    <w:uiPriority w:val="0"/>
    <w:pPr>
      <w:ind w:left="428" w:firstLine="140"/>
    </w:pPr>
    <w:rPr>
      <w:rFonts w:eastAsia="华文仿宋"/>
      <w:sz w:val="28"/>
    </w:rPr>
  </w:style>
  <w:style w:type="paragraph" w:styleId="5">
    <w:name w:val="Date"/>
    <w:basedOn w:val="1"/>
    <w:next w:val="1"/>
    <w:link w:val="20"/>
    <w:semiHidden/>
    <w:unhideWhenUsed/>
    <w:qFormat/>
    <w:uiPriority w:val="99"/>
    <w:pPr>
      <w:ind w:left="100" w:leftChars="2500"/>
    </w:pPr>
    <w:rPr>
      <w:rFonts w:eastAsia="宋体"/>
      <w:kern w:val="0"/>
      <w:sz w:val="20"/>
    </w:rPr>
  </w:style>
  <w:style w:type="paragraph" w:styleId="6">
    <w:name w:val="Balloon Text"/>
    <w:basedOn w:val="1"/>
    <w:link w:val="19"/>
    <w:semiHidden/>
    <w:qFormat/>
    <w:uiPriority w:val="99"/>
    <w:rPr>
      <w:rFonts w:eastAsia="宋体"/>
      <w:kern w:val="0"/>
      <w:sz w:val="2"/>
      <w:szCs w:val="20"/>
    </w:rPr>
  </w:style>
  <w:style w:type="paragraph" w:styleId="7">
    <w:name w:val="footer"/>
    <w:basedOn w:val="1"/>
    <w:link w:val="17"/>
    <w:qFormat/>
    <w:uiPriority w:val="99"/>
    <w:pPr>
      <w:tabs>
        <w:tab w:val="center" w:pos="4153"/>
        <w:tab w:val="right" w:pos="8306"/>
      </w:tabs>
      <w:snapToGrid w:val="0"/>
      <w:jc w:val="left"/>
    </w:pPr>
    <w:rPr>
      <w:rFonts w:eastAsia="宋体"/>
      <w:kern w:val="0"/>
      <w:sz w:val="18"/>
      <w:szCs w:val="18"/>
    </w:rPr>
  </w:style>
  <w:style w:type="paragraph" w:styleId="8">
    <w:name w:val="header"/>
    <w:basedOn w:val="1"/>
    <w:link w:val="16"/>
    <w:qFormat/>
    <w:uiPriority w:val="99"/>
    <w:pPr>
      <w:pBdr>
        <w:bottom w:val="single" w:color="auto" w:sz="6" w:space="1"/>
      </w:pBdr>
      <w:tabs>
        <w:tab w:val="center" w:pos="4153"/>
        <w:tab w:val="right" w:pos="8306"/>
      </w:tabs>
      <w:snapToGrid w:val="0"/>
      <w:jc w:val="center"/>
    </w:pPr>
    <w:rPr>
      <w:rFonts w:eastAsia="宋体"/>
      <w:kern w:val="0"/>
      <w:sz w:val="18"/>
      <w:szCs w:val="18"/>
    </w:rPr>
  </w:style>
  <w:style w:type="paragraph" w:styleId="9">
    <w:name w:val="toc 1"/>
    <w:basedOn w:val="1"/>
    <w:next w:val="1"/>
    <w:unhideWhenUsed/>
    <w:qFormat/>
    <w:locked/>
    <w:uiPriority w:val="4"/>
    <w:pPr>
      <w:widowControl/>
    </w:pPr>
    <w:rPr>
      <w:rFonts w:eastAsia="宋体"/>
      <w:sz w:val="21"/>
      <w:szCs w:val="20"/>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qFormat/>
    <w:uiPriority w:val="99"/>
    <w:rPr>
      <w:rFonts w:cs="Times New Roman"/>
      <w:color w:val="0000FF"/>
      <w:u w:val="single"/>
    </w:rPr>
  </w:style>
  <w:style w:type="paragraph" w:customStyle="1" w:styleId="15">
    <w:name w:val="Heading1"/>
    <w:basedOn w:val="1"/>
    <w:next w:val="1"/>
    <w:qFormat/>
    <w:uiPriority w:val="0"/>
    <w:pPr>
      <w:spacing w:beforeAutospacing="1" w:afterAutospacing="1"/>
      <w:jc w:val="left"/>
      <w:textAlignment w:val="baseline"/>
    </w:pPr>
    <w:rPr>
      <w:rFonts w:ascii="Calibri" w:hAnsi="Calibri" w:eastAsia="宋体"/>
      <w:b/>
      <w:kern w:val="44"/>
      <w:sz w:val="48"/>
      <w:szCs w:val="48"/>
      <w:lang w:val="en-US" w:eastAsia="zh-CN" w:bidi="ar-SA"/>
    </w:rPr>
  </w:style>
  <w:style w:type="character" w:customStyle="1" w:styleId="16">
    <w:name w:val="页眉 Char"/>
    <w:link w:val="8"/>
    <w:qFormat/>
    <w:locked/>
    <w:uiPriority w:val="99"/>
    <w:rPr>
      <w:rFonts w:ascii="Times New Roman" w:hAnsi="Times New Roman" w:eastAsia="宋体" w:cs="Times New Roman"/>
      <w:sz w:val="18"/>
      <w:szCs w:val="18"/>
    </w:rPr>
  </w:style>
  <w:style w:type="character" w:customStyle="1" w:styleId="17">
    <w:name w:val="页脚 Char"/>
    <w:link w:val="7"/>
    <w:qFormat/>
    <w:locked/>
    <w:uiPriority w:val="99"/>
    <w:rPr>
      <w:rFonts w:ascii="Times New Roman" w:hAnsi="Times New Roman" w:eastAsia="宋体" w:cs="Times New Roman"/>
      <w:sz w:val="18"/>
      <w:szCs w:val="18"/>
    </w:rPr>
  </w:style>
  <w:style w:type="paragraph" w:styleId="18">
    <w:name w:val="List Paragraph"/>
    <w:basedOn w:val="1"/>
    <w:qFormat/>
    <w:uiPriority w:val="99"/>
    <w:pPr>
      <w:ind w:firstLine="420" w:firstLineChars="200"/>
    </w:pPr>
  </w:style>
  <w:style w:type="character" w:customStyle="1" w:styleId="19">
    <w:name w:val="批注框文本 Char"/>
    <w:link w:val="6"/>
    <w:semiHidden/>
    <w:qFormat/>
    <w:locked/>
    <w:uiPriority w:val="99"/>
    <w:rPr>
      <w:rFonts w:ascii="Times New Roman" w:hAnsi="Times New Roman" w:cs="Times New Roman"/>
      <w:sz w:val="2"/>
    </w:rPr>
  </w:style>
  <w:style w:type="character" w:customStyle="1" w:styleId="20">
    <w:name w:val="日期 Char"/>
    <w:link w:val="5"/>
    <w:semiHidden/>
    <w:qFormat/>
    <w:uiPriority w:val="99"/>
    <w:rPr>
      <w:rFonts w:ascii="Times New Roman" w:hAnsi="Times New Roman"/>
      <w:szCs w:val="24"/>
    </w:rPr>
  </w:style>
  <w:style w:type="paragraph" w:customStyle="1" w:styleId="21">
    <w:name w:val="正文格式"/>
    <w:basedOn w:val="1"/>
    <w:qFormat/>
    <w:uiPriority w:val="0"/>
    <w:pPr>
      <w:widowControl/>
      <w:adjustRightInd w:val="0"/>
      <w:snapToGrid w:val="0"/>
      <w:spacing w:line="400" w:lineRule="atLeast"/>
      <w:ind w:firstLine="482"/>
      <w:textAlignment w:val="baseline"/>
    </w:pPr>
    <w:rPr>
      <w:sz w:val="24"/>
    </w:rPr>
  </w:style>
  <w:style w:type="paragraph" w:customStyle="1" w:styleId="22">
    <w:name w:val="p0"/>
    <w:basedOn w:val="1"/>
    <w:qFormat/>
    <w:uiPriority w:val="0"/>
    <w:pPr>
      <w:widowControl/>
    </w:pPr>
    <w:rPr>
      <w:rFonts w:eastAsia="宋体"/>
      <w:sz w:val="21"/>
    </w:rPr>
  </w:style>
  <w:style w:type="paragraph" w:customStyle="1" w:styleId="23">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3145</Words>
  <Characters>3167</Characters>
  <Lines>4</Lines>
  <Paragraphs>1</Paragraphs>
  <TotalTime>35</TotalTime>
  <ScaleCrop>false</ScaleCrop>
  <LinksUpToDate>false</LinksUpToDate>
  <CharactersWithSpaces>3268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2023-04-27T02:51:00Z</dcterms:created>
  <dc:creator>创城</dc:creator>
  <cp:lastModifiedBy>圆圆圆圆圆圆圆</cp:lastModifiedBy>
  <cp:lastPrinted>2026-08-03T09:36:52Z</cp:lastPrinted>
  <dcterms:modified xsi:type="dcterms:W3CDTF">2026-08-03T09:37:03Z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70552DE591A348968F1B121E45B3EBB6_13</vt:lpwstr>
  </property>
  <property fmtid="{D5CDD505-2E9C-101B-9397-08002B2CF9AE}" pid="4" name="KSOTemplateDocerSaveRecord">
    <vt:lpwstr>eyJoZGlkIjoiYTEwNDc3NWM4MWVlODlhNDcxODMwNmVmM2ZlYzQ2ZDkiLCJ1c2VySWQiOiIzMjM4NjI5MjQifQ==</vt:lpwstr>
  </property>
</Properties>
</file>