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220A77">
      <w:pPr>
        <w:keepNext w:val="0"/>
        <w:keepLines w:val="0"/>
        <w:pageBreakBefore w:val="0"/>
        <w:widowControl w:val="0"/>
        <w:tabs>
          <w:tab w:val="center" w:pos="4507"/>
        </w:tabs>
        <w:kinsoku/>
        <w:wordWrap/>
        <w:overflowPunct/>
        <w:topLinePunct w:val="0"/>
        <w:autoSpaceDE/>
        <w:autoSpaceDN/>
        <w:bidi w:val="0"/>
        <w:spacing w:line="578" w:lineRule="exact"/>
        <w:jc w:val="left"/>
        <w:textAlignment w:val="auto"/>
        <w:rPr>
          <w:rFonts w:ascii="宋体" w:hAnsi="宋体"/>
          <w:sz w:val="44"/>
        </w:rPr>
      </w:pPr>
    </w:p>
    <w:p w14:paraId="1620EC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jc w:val="center"/>
        <w:textAlignment w:val="auto"/>
        <w:rPr>
          <w:rFonts w:hint="eastAsia" w:ascii="宋体" w:hAnsi="宋体" w:eastAsia="方正小标宋简体"/>
          <w:spacing w:val="-20"/>
          <w:sz w:val="44"/>
          <w:szCs w:val="44"/>
        </w:rPr>
      </w:pPr>
      <w:r>
        <w:rPr>
          <w:rFonts w:hint="eastAsia" w:ascii="宋体" w:hAnsi="宋体" w:eastAsia="方正小标宋简体"/>
          <w:spacing w:val="-20"/>
          <w:sz w:val="44"/>
          <w:szCs w:val="44"/>
        </w:rPr>
        <w:t>中共威海市委火炬高技术产业开发区工作委员会</w:t>
      </w:r>
    </w:p>
    <w:p w14:paraId="32416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jc w:val="center"/>
        <w:textAlignment w:val="auto"/>
        <w:rPr>
          <w:rFonts w:hint="eastAsia" w:ascii="宋体" w:hAnsi="宋体" w:eastAsia="方正小标宋简体"/>
          <w:spacing w:val="-20"/>
          <w:sz w:val="44"/>
          <w:szCs w:val="44"/>
        </w:rPr>
      </w:pPr>
      <w:r>
        <w:rPr>
          <w:rFonts w:hint="eastAsia" w:ascii="宋体" w:hAnsi="宋体" w:eastAsia="方正小标宋简体"/>
          <w:spacing w:val="0"/>
          <w:sz w:val="44"/>
          <w:szCs w:val="44"/>
        </w:rPr>
        <w:t>威海火炬高技术产业开发区管理委员会</w:t>
      </w:r>
    </w:p>
    <w:p w14:paraId="16EBB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jc w:val="center"/>
        <w:textAlignment w:val="auto"/>
        <w:rPr>
          <w:rFonts w:hint="eastAsia" w:ascii="宋体" w:hAnsi="宋体" w:eastAsia="方正小标宋简体"/>
          <w:spacing w:val="-20"/>
          <w:sz w:val="44"/>
          <w:szCs w:val="44"/>
        </w:rPr>
      </w:pPr>
      <w:r>
        <w:rPr>
          <w:rFonts w:hint="eastAsia" w:ascii="宋体" w:hAnsi="宋体" w:eastAsia="方正小标宋简体"/>
          <w:spacing w:val="0"/>
          <w:sz w:val="44"/>
          <w:szCs w:val="44"/>
        </w:rPr>
        <w:t>关于</w:t>
      </w:r>
      <w:r>
        <w:rPr>
          <w:rFonts w:hint="eastAsia" w:ascii="宋体" w:hAnsi="宋体" w:eastAsia="方正小标宋简体" w:cs="方正小标宋简体"/>
          <w:w w:val="98"/>
          <w:sz w:val="44"/>
          <w:szCs w:val="44"/>
          <w:lang w:val="en-US" w:eastAsia="zh-CN"/>
        </w:rPr>
        <w:t>2024年法治政府建设情况的报告</w:t>
      </w:r>
    </w:p>
    <w:p w14:paraId="2C7B1A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textAlignment w:val="auto"/>
        <w:rPr>
          <w:rFonts w:hint="eastAsia" w:ascii="宋体" w:hAnsi="宋体" w:eastAsia="仿宋_GB2312" w:cs="仿宋_GB2312"/>
          <w:sz w:val="32"/>
          <w:szCs w:val="32"/>
        </w:rPr>
      </w:pPr>
    </w:p>
    <w:p w14:paraId="090ADD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宋体" w:hAnsi="宋体" w:eastAsia="仿宋_GB2312" w:cs="仿宋_GB2312"/>
          <w:sz w:val="32"/>
          <w:szCs w:val="32"/>
        </w:rPr>
      </w:pPr>
      <w:r>
        <w:rPr>
          <w:rFonts w:hint="eastAsia" w:ascii="宋体" w:hAnsi="宋体" w:eastAsia="仿宋_GB2312" w:cs="仿宋_GB2312"/>
          <w:sz w:val="32"/>
          <w:szCs w:val="32"/>
        </w:rPr>
        <w:t>市委、市政府:</w:t>
      </w:r>
    </w:p>
    <w:p w14:paraId="4A7F7E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default" w:ascii="宋体" w:hAnsi="宋体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val="en-US" w:eastAsia="zh-CN"/>
        </w:rPr>
        <w:t>2024年，在市委、市政府的坚强领导下，高区党工委、管委坚持以党的二十大精神和习近平法治思想为指引，全面贯彻落实《法治政府建设实施纲要（2021-2025年）》等文件精神，深入推进依法行政，全区法治政府建设再上新台阶。现将有关情况报告如下。</w:t>
      </w:r>
    </w:p>
    <w:p w14:paraId="23A498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一、2024年推进法治政府建设的主要举措和成效</w:t>
      </w:r>
    </w:p>
    <w:p w14:paraId="382D9C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（一）依法履行政府职能</w:t>
      </w:r>
    </w:p>
    <w:p w14:paraId="72BD58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优化政府机构职能。深化开发区管理制度改革，重新认领开发区权责事项124项，进一步厘清开发区与市直部门职责边界8大类52项、与属地镇街职责边界47项；深入推进镇街机构改革，按照“五办四中心”框架优化设置工作机构；严格实施市场准入负面清单制度，推动“非禁即入”普遍落实。提升政务服务效能。着力打造“照单收、高兴办”政务服务品牌，建立企业从准入到退出全生命周期便捷登记服务机制，推行“三个一”重点项目服务机制，实行“一码通办”，为达峰智能、华菱电子等31个市级重点项目提供精准高效帮办代办服务，不断提升企业群众办事便利度。持续优化营商环境。兑现惠企资金4.6亿元；打造“益企扬帆”服务品牌，通过“诉前磋商+司法确认”等办理模式解决企业涉法涉诉问题48起，帮助企业挽回经济损失500多万元。完善依法行政制度体系。加强对行政规范性文件的监督管理，深入贯彻落实《威海市行政规范性文件制定和监督管理办法》，及时做好规范性文件审查清理工作，确保文件出台合法合规。</w:t>
      </w:r>
    </w:p>
    <w:p w14:paraId="70C31B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（二）严格依法科学民主决策</w:t>
      </w:r>
    </w:p>
    <w:p w14:paraId="6C534F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强化依法决策。不断拓展法律顾问、公职律师参与行政决策的广度与深度，为依法决策提供保障；严格执行“三重一大”事项议事规则和决策程序，做到依法、科学、民主决策。加强法律顾问和公职律师管理。充分发挥法律顾问、公职律师职能作用，14名法律顾问全年为合同审查、重大执法行为、化解信访案件等提供法律意见358件，代理行政复议、行政诉讼案件26件，提供其他法律顾问服务150余次；跨部门统筹配备15名公职律师，实现服务全覆盖。</w:t>
      </w:r>
    </w:p>
    <w:p w14:paraId="2A5B5C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（三）加强和改进行政执法工作</w:t>
      </w:r>
    </w:p>
    <w:p w14:paraId="067D2F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创新基层行政执法体制改革。采取“一镇一队”“一镇一所”驻点派驻的方式推进区级城管执法、市场监管力量向基层下沉；赋予镇街指挥调度、征得同意、人事考核等权力，实现“镇街管、镇街用”。优化涉企行政执法方式。持续推行涉企分级分类监管和跨部门综合监管，全年完成对527家市场主体的部门内部抽查、629家市场主体的部门联合抽查，联合抽查比率达70.6%；进一步落实“不罚”“轻罚”事项清单，最大限度减轻企业负担。推进严格规范公正文明执法。加强执法人员管理培训，2024年共办理新申领执法证件24人，年审执法证件137人，注销执法证件19人；深入开展行政执法领域突出问题专项整治，组织开展案卷评查，多层次加强执法人员培训，不断提升行政执法规范化水平。</w:t>
      </w:r>
    </w:p>
    <w:p w14:paraId="6AF242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（四）完善应急管理制度机制</w:t>
      </w:r>
    </w:p>
    <w:p w14:paraId="46E8EF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健全突发事件应对机制，提高突发事件处置能力。完善应急预案体系建设，组织“双盲”应急演练；开展各行业领域应急演练376次，参与人数7200余人，有效提升应急处置能力。引导基层组织和社会力量有序参与突发事件应对。发展区级重点行业领域专业救援队7支，重点企业应急救援队伍11支，总人数270余人，初步构建全区应急救援力量体系；充实灾害信息员队伍建设，37个村、63个社区共配备200名灾害信息员，完成培训381人次。</w:t>
      </w:r>
    </w:p>
    <w:p w14:paraId="5CDAC5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（五）预防调处化解社会矛盾纠纷</w:t>
      </w:r>
    </w:p>
    <w:p w14:paraId="796402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扎实做好信访工作。严格按照“五个法治化”“四个到位”要求，对信访事项办理程序进行全面规范，对上级推送的省领导包案1件、市领导包案16件全部化解，排查梳理信访积案80件，已化解78件，化解率达97.5%。高效化解矛盾纠纷。构建“一站式受理、一揽子调处、全链条服务”的矛盾纠纷调解工作体系，年内受理矛盾纠纷案件2706件，按时受理率、办结率均达到100%。</w:t>
      </w:r>
    </w:p>
    <w:p w14:paraId="1082E8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（六）强化对行政权力的制约监督</w:t>
      </w:r>
    </w:p>
    <w:p w14:paraId="5B5705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规范政府督查工作。制定2024年督查检查考核计划，严控督查规模、范围、频次和时限，严格执行督查活动报备制度。全面推进政务公开。主动公开信息15500余条，公开率、关联率和保密审查率均达100%；发布政策解读10篇，处理公开申请17件；强化政务新媒体管理，清退区级政务新媒体账号3个，目前在办区政务新媒体15个。推进政务诚信建设。持续加强政务失信问题专项治理，定期反馈政府部门涉诉案件情况；严格落实“两书同达”制度，先后指导81家企业完成信用修复，有效提高了失信信息修复率。提升合同管理工作质效。健全合同审查机制，切实提高合同管理的规范化水平，共审查备案合同19件，有效防范法律风险产生。</w:t>
      </w:r>
    </w:p>
    <w:p w14:paraId="4D8801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（七）加快建设数字政府</w:t>
      </w:r>
    </w:p>
    <w:p w14:paraId="18E3D0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强化政务数据资源汇聚共享。做好数据汇聚和数据共享、开放工作，数据共享率和开放率均达到100%；完成15个“智慧社区”的补短板工作，确保村、居政务服务网站点办事服务运行正常。全面推进互联网+监管。推行“移动办公+智慧监管”，实现执法监管“无纸化”“掌上查”，移动监管率达到90%；“互联网+监管”监管事项完成6129条，覆盖率和及时率均达到100%。</w:t>
      </w:r>
    </w:p>
    <w:p w14:paraId="5D8682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二、2024年推进法治政府建设存在的不足和原因</w:t>
      </w:r>
    </w:p>
    <w:p w14:paraId="35D0CF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一是法治建设工作创新不足。</w:t>
      </w: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习惯于按照上级要求和传统模式开展工作，缺乏创新思维和方法，法治建设工作的针对性和实效性有待提高。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二是行政执法水平提升不大。</w:t>
      </w: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部分行政执法人员业务素质有待加强，执法程序不规范，对复杂法律问题的理解和运用能力不足。</w:t>
      </w:r>
    </w:p>
    <w:p w14:paraId="1CDCB3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三、2024年党政主要负责人履行推进法治建设第一责任人职责，加强法治政府建设的有关情况</w:t>
      </w:r>
    </w:p>
    <w:p w14:paraId="4D0D3F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2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一是高度重视法治建设，强化责任担当。</w:t>
      </w: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切实履行推进法治建设第一责任人职责，将法治建设列入年度工作要点，定期研究部署法治政府建设工作。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二是完善法治体制机制，推动依法行政。</w:t>
      </w: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坚持民主集中制原则，严格按照法定权限和程序行使权力，确保决策的科学性、民主性和合法性。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三是加强法治监督与问责，夯实法治保障。</w:t>
      </w: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建立健全法治建设考核评价机制，加强对领导干部法治素养和依法履职的考核评价，不断夯实推进法治建设的能力保障。</w:t>
      </w:r>
    </w:p>
    <w:p w14:paraId="26216D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2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四、2025年推进法治政府建设的主要安排</w:t>
      </w:r>
    </w:p>
    <w:p w14:paraId="482458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2" w:lineRule="exact"/>
        <w:ind w:firstLine="640" w:firstLineChars="200"/>
        <w:textAlignment w:val="auto"/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一是加强党对法治建设的领导。</w:t>
      </w: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全面落实省委、市委关于法治政府建设的决策部署，切实把党的领导贯彻到法治建设的全过程、各方面，进一步提升依法行政工作水平。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二是创新法治建设工作方式方法。</w:t>
      </w: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加强调查研究，深入了解新形势下法治建设工作的新情况、新问题，积极探索法治建设的新方法、新途径，切实提高法治建设工作的针对性和实效性。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三是强化法治教育培训。</w:t>
      </w: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依托各类平台载体，加强法律法规学习教育培训，提高机关工作人员法治能力。全方位、多层次开展对行政执法人员的培训，不断提升行政执法规范化水平。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四是坚持用法治手段解决民生领域突出问题。</w:t>
      </w:r>
      <w:r>
        <w:rPr>
          <w:rFonts w:hint="eastAsia" w:ascii="宋体" w:hAnsi="宋体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以服务民生、保障民生为出发点，在重点民生领域中坚持用法治思维想问题、推工作、办实事，及时有效解决群众的“急难愁盼”问题。</w:t>
      </w:r>
    </w:p>
    <w:p w14:paraId="33E57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2" w:lineRule="exact"/>
        <w:textAlignment w:val="auto"/>
        <w:rPr>
          <w:rFonts w:hint="eastAsia" w:ascii="宋体" w:hAnsi="宋体" w:eastAsia="仿宋_GB2312" w:cs="仿宋_GB2312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 xml:space="preserve">  </w:t>
      </w:r>
    </w:p>
    <w:p w14:paraId="0D997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2" w:lineRule="exact"/>
        <w:textAlignment w:val="auto"/>
        <w:rPr>
          <w:rFonts w:hint="eastAsia" w:ascii="宋体" w:hAnsi="宋体" w:eastAsia="仿宋_GB2312" w:cs="仿宋_GB2312"/>
          <w:sz w:val="32"/>
          <w:szCs w:val="32"/>
          <w:lang w:val="en-US" w:eastAsia="zh-CN"/>
        </w:rPr>
      </w:pPr>
    </w:p>
    <w:p w14:paraId="6B9AB9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2" w:lineRule="exact"/>
        <w:textAlignment w:val="auto"/>
        <w:rPr>
          <w:rFonts w:hint="eastAsia" w:ascii="宋体" w:hAnsi="宋体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宋体" w:hAnsi="宋体" w:eastAsia="仿宋_GB2312" w:cs="仿宋_GB2312"/>
          <w:spacing w:val="0"/>
          <w:sz w:val="32"/>
          <w:szCs w:val="32"/>
        </w:rPr>
        <w:t>中共威海市委火炬高技术</w:t>
      </w:r>
      <w:r>
        <w:rPr>
          <w:rFonts w:hint="eastAsia" w:ascii="宋体" w:hAnsi="宋体" w:eastAsia="仿宋_GB2312" w:cs="仿宋_GB2312"/>
          <w:spacing w:val="0"/>
          <w:sz w:val="32"/>
          <w:szCs w:val="32"/>
          <w:lang w:val="en-US" w:eastAsia="zh-CN"/>
        </w:rPr>
        <w:t xml:space="preserve">      威海火炬高技术产业    </w:t>
      </w:r>
    </w:p>
    <w:p w14:paraId="361E5E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2" w:lineRule="exact"/>
        <w:textAlignment w:val="auto"/>
        <w:rPr>
          <w:rFonts w:hint="eastAsia" w:ascii="宋体" w:hAnsi="宋体" w:eastAsia="仿宋_GB2312" w:cs="仿宋_GB2312"/>
          <w:spacing w:val="-20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宋体" w:hAnsi="宋体" w:eastAsia="仿宋_GB2312" w:cs="仿宋_GB2312"/>
          <w:spacing w:val="0"/>
          <w:sz w:val="32"/>
          <w:szCs w:val="32"/>
        </w:rPr>
        <w:t xml:space="preserve">产业开发区工作委员会 </w:t>
      </w:r>
      <w:r>
        <w:rPr>
          <w:rFonts w:hint="eastAsia" w:ascii="宋体" w:hAnsi="宋体" w:eastAsia="仿宋_GB2312" w:cs="仿宋_GB2312"/>
          <w:spacing w:val="0"/>
          <w:sz w:val="32"/>
          <w:szCs w:val="32"/>
          <w:lang w:val="en-US" w:eastAsia="zh-CN"/>
        </w:rPr>
        <w:t xml:space="preserve">       开发区管理委员会</w:t>
      </w:r>
    </w:p>
    <w:p w14:paraId="3AC69E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2" w:lineRule="exact"/>
        <w:ind w:firstLine="5440" w:firstLineChars="1700"/>
        <w:textAlignment w:val="auto"/>
        <w:rPr>
          <w:rFonts w:hint="eastAsia"/>
        </w:rPr>
      </w:pPr>
      <w:r>
        <w:rPr>
          <w:rFonts w:hint="eastAsia" w:ascii="宋体" w:hAnsi="宋体" w:eastAsia="仿宋_GB2312" w:cs="仿宋_GB2312"/>
          <w:sz w:val="32"/>
          <w:szCs w:val="32"/>
        </w:rPr>
        <w:t>20</w:t>
      </w: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>25</w:t>
      </w:r>
      <w:r>
        <w:rPr>
          <w:rFonts w:hint="eastAsia" w:ascii="宋体" w:hAnsi="宋体" w:eastAsia="仿宋_GB2312" w:cs="仿宋_GB2312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宋体" w:hAnsi="宋体" w:eastAsia="仿宋_GB2312" w:cs="仿宋_GB2312"/>
          <w:sz w:val="32"/>
          <w:szCs w:val="32"/>
        </w:rPr>
        <w:t>月</w:t>
      </w: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宋体" w:hAnsi="宋体" w:eastAsia="仿宋_GB2312" w:cs="仿宋_GB2312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5" w:left="1588" w:header="851" w:footer="1134" w:gutter="0"/>
      <w:cols w:space="425" w:num="1"/>
      <w:docGrid w:type="lines" w:linePitch="600" w:charSpace="229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66169499"/>
      <w:docPartObj>
        <w:docPartGallery w:val="autotext"/>
      </w:docPartObj>
    </w:sdtPr>
    <w:sdtContent>
      <w:p w14:paraId="63DDB6DE">
        <w:pPr>
          <w:pStyle w:val="7"/>
          <w:wordWrap w:val="0"/>
          <w:jc w:val="right"/>
        </w:pPr>
        <w:r>
          <w:rPr>
            <w:rFonts w:hint="eastAsia"/>
            <w:sz w:val="28"/>
            <w:szCs w:val="28"/>
          </w:rPr>
          <w:t xml:space="preserve">— </w:t>
        </w: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1</w:t>
        </w:r>
        <w:r>
          <w:rPr>
            <w:rFonts w:ascii="宋体" w:hAnsi="宋体"/>
            <w:sz w:val="28"/>
            <w:szCs w:val="28"/>
          </w:rPr>
          <w:fldChar w:fldCharType="end"/>
        </w:r>
        <w:r>
          <w:rPr>
            <w:rFonts w:hint="eastAsia" w:ascii="宋体" w:hAnsi="宋体"/>
            <w:sz w:val="28"/>
            <w:szCs w:val="28"/>
          </w:rPr>
          <w:t xml:space="preserve"> —  </w:t>
        </w:r>
      </w:p>
    </w:sdtContent>
  </w:sdt>
  <w:p w14:paraId="1C8D0BBE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6991637"/>
      <w:docPartObj>
        <w:docPartGallery w:val="autotext"/>
      </w:docPartObj>
    </w:sdtPr>
    <w:sdtContent>
      <w:p w14:paraId="1322D0D5">
        <w:pPr>
          <w:pStyle w:val="7"/>
          <w:ind w:firstLine="270" w:firstLineChars="150"/>
        </w:pPr>
        <w:r>
          <w:rPr>
            <w:rFonts w:hint="eastAsia"/>
            <w:sz w:val="28"/>
            <w:szCs w:val="28"/>
          </w:rPr>
          <w:t xml:space="preserve">— </w:t>
        </w: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  <w:r>
          <w:rPr>
            <w:rFonts w:hint="eastAsia" w:ascii="宋体" w:hAnsi="宋体"/>
            <w:sz w:val="28"/>
            <w:szCs w:val="28"/>
          </w:rPr>
          <w:t xml:space="preserve"> —</w:t>
        </w:r>
      </w:p>
    </w:sdtContent>
  </w:sdt>
  <w:p w14:paraId="7693B5C8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BD3230"/>
    <w:multiLevelType w:val="multilevel"/>
    <w:tmpl w:val="23BD3230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1418" w:hanging="567"/>
      </w:pPr>
      <w:rPr>
        <w:rFonts w:hint="eastAsia"/>
        <w:lang w:val="en-US"/>
      </w:rPr>
    </w:lvl>
    <w:lvl w:ilvl="3" w:tentative="0">
      <w:start w:val="1"/>
      <w:numFmt w:val="decimal"/>
      <w:lvlText w:val="%1.%2.%3.%4"/>
      <w:lvlJc w:val="left"/>
      <w:pPr>
        <w:ind w:left="850" w:hanging="708"/>
      </w:pPr>
      <w:rPr>
        <w:rFonts w:hint="eastAsia"/>
      </w:rPr>
    </w:lvl>
    <w:lvl w:ilvl="4" w:tentative="0">
      <w:start w:val="1"/>
      <w:numFmt w:val="decimal"/>
      <w:pStyle w:val="2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evenAndOddHeaders w:val="1"/>
  <w:drawingGridHorizontalSpacing w:val="161"/>
  <w:drawingGridVerticalSpacing w:val="30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k3ZDlhMmExZDAyM2ExMGMzZmU1NzhkZGQyODgzY2YifQ=="/>
  </w:docVars>
  <w:rsids>
    <w:rsidRoot w:val="003D5E59"/>
    <w:rsid w:val="0002432B"/>
    <w:rsid w:val="000962AA"/>
    <w:rsid w:val="0010324F"/>
    <w:rsid w:val="00150CD8"/>
    <w:rsid w:val="00155185"/>
    <w:rsid w:val="00187DF1"/>
    <w:rsid w:val="001C657C"/>
    <w:rsid w:val="002265A0"/>
    <w:rsid w:val="002A7E8C"/>
    <w:rsid w:val="002F08F4"/>
    <w:rsid w:val="0034435B"/>
    <w:rsid w:val="00392D81"/>
    <w:rsid w:val="00396017"/>
    <w:rsid w:val="003D5E59"/>
    <w:rsid w:val="003F1DA6"/>
    <w:rsid w:val="00400244"/>
    <w:rsid w:val="00434512"/>
    <w:rsid w:val="004B634C"/>
    <w:rsid w:val="00517BA5"/>
    <w:rsid w:val="00523A69"/>
    <w:rsid w:val="00542579"/>
    <w:rsid w:val="00572506"/>
    <w:rsid w:val="0060283F"/>
    <w:rsid w:val="00635F64"/>
    <w:rsid w:val="006379EE"/>
    <w:rsid w:val="00643A1C"/>
    <w:rsid w:val="00647EF5"/>
    <w:rsid w:val="006F7DA3"/>
    <w:rsid w:val="0072690A"/>
    <w:rsid w:val="00740A24"/>
    <w:rsid w:val="00752003"/>
    <w:rsid w:val="007815FB"/>
    <w:rsid w:val="007E0E27"/>
    <w:rsid w:val="007E5DCB"/>
    <w:rsid w:val="007F6203"/>
    <w:rsid w:val="00805572"/>
    <w:rsid w:val="00831CB6"/>
    <w:rsid w:val="00842A58"/>
    <w:rsid w:val="008559E8"/>
    <w:rsid w:val="00874984"/>
    <w:rsid w:val="008E4BB9"/>
    <w:rsid w:val="009054AB"/>
    <w:rsid w:val="00931A65"/>
    <w:rsid w:val="00937A78"/>
    <w:rsid w:val="009967D8"/>
    <w:rsid w:val="009D2DFA"/>
    <w:rsid w:val="009D3432"/>
    <w:rsid w:val="00A046B6"/>
    <w:rsid w:val="00A44796"/>
    <w:rsid w:val="00B71D25"/>
    <w:rsid w:val="00B85C8E"/>
    <w:rsid w:val="00CF3824"/>
    <w:rsid w:val="00D2772A"/>
    <w:rsid w:val="00D5487C"/>
    <w:rsid w:val="00D60857"/>
    <w:rsid w:val="00DA7A82"/>
    <w:rsid w:val="00DF08DA"/>
    <w:rsid w:val="00E4589A"/>
    <w:rsid w:val="00E54C25"/>
    <w:rsid w:val="00E62203"/>
    <w:rsid w:val="05CF1D0E"/>
    <w:rsid w:val="0CF86357"/>
    <w:rsid w:val="170807FA"/>
    <w:rsid w:val="1846532E"/>
    <w:rsid w:val="1DE7C682"/>
    <w:rsid w:val="1FFE2E97"/>
    <w:rsid w:val="236E6BF8"/>
    <w:rsid w:val="26FE2FD9"/>
    <w:rsid w:val="2B6410D6"/>
    <w:rsid w:val="2BFB678A"/>
    <w:rsid w:val="32FF7264"/>
    <w:rsid w:val="37D7BF65"/>
    <w:rsid w:val="3CBCD5B2"/>
    <w:rsid w:val="43595D5F"/>
    <w:rsid w:val="471C22B0"/>
    <w:rsid w:val="4EE863CD"/>
    <w:rsid w:val="575F9640"/>
    <w:rsid w:val="5777B74A"/>
    <w:rsid w:val="5F6B5392"/>
    <w:rsid w:val="6A915B58"/>
    <w:rsid w:val="6B42680B"/>
    <w:rsid w:val="6E6FBAC3"/>
    <w:rsid w:val="6EED7B42"/>
    <w:rsid w:val="73886A56"/>
    <w:rsid w:val="75FFE16A"/>
    <w:rsid w:val="77FDB471"/>
    <w:rsid w:val="78297312"/>
    <w:rsid w:val="79F7B420"/>
    <w:rsid w:val="7BD972FC"/>
    <w:rsid w:val="7CDFE538"/>
    <w:rsid w:val="7D4F7ACD"/>
    <w:rsid w:val="7EEE660F"/>
    <w:rsid w:val="7F3B432E"/>
    <w:rsid w:val="7F784270"/>
    <w:rsid w:val="7F7A8F74"/>
    <w:rsid w:val="7F9BC683"/>
    <w:rsid w:val="7FC72750"/>
    <w:rsid w:val="7FFEB3DF"/>
    <w:rsid w:val="9E4BD1DE"/>
    <w:rsid w:val="B7B17FC5"/>
    <w:rsid w:val="B957F600"/>
    <w:rsid w:val="BBADF06D"/>
    <w:rsid w:val="BF7771C6"/>
    <w:rsid w:val="C767A9EA"/>
    <w:rsid w:val="CE891B56"/>
    <w:rsid w:val="D3E7ECB5"/>
    <w:rsid w:val="DCD7B6DF"/>
    <w:rsid w:val="DFCFF595"/>
    <w:rsid w:val="E8FF8150"/>
    <w:rsid w:val="ED73ED29"/>
    <w:rsid w:val="EEEE4AFB"/>
    <w:rsid w:val="F5B7E8E5"/>
    <w:rsid w:val="F6FE4870"/>
    <w:rsid w:val="F7D4C9C2"/>
    <w:rsid w:val="FBF55AF9"/>
    <w:rsid w:val="FC9B0052"/>
    <w:rsid w:val="FCEFCCD0"/>
    <w:rsid w:val="FEFB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9" w:semiHidden="0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9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9"/>
    <w:pPr>
      <w:widowControl/>
      <w:spacing w:before="200" w:line="276" w:lineRule="auto"/>
      <w:jc w:val="left"/>
      <w:outlineLvl w:val="1"/>
    </w:pPr>
    <w:rPr>
      <w:rFonts w:ascii="Cambria" w:hAnsi="Cambria"/>
      <w:b/>
      <w:bCs/>
      <w:kern w:val="0"/>
      <w:sz w:val="26"/>
      <w:szCs w:val="26"/>
    </w:rPr>
  </w:style>
  <w:style w:type="paragraph" w:styleId="4">
    <w:name w:val="heading 3"/>
    <w:basedOn w:val="1"/>
    <w:next w:val="1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2">
    <w:name w:val="heading 5"/>
    <w:basedOn w:val="1"/>
    <w:next w:val="1"/>
    <w:qFormat/>
    <w:uiPriority w:val="9"/>
    <w:pPr>
      <w:keepNext/>
      <w:keepLines/>
      <w:numPr>
        <w:ilvl w:val="4"/>
        <w:numId w:val="1"/>
      </w:numPr>
      <w:ind w:left="851" w:hanging="851"/>
      <w:outlineLvl w:val="4"/>
    </w:pPr>
    <w:rPr>
      <w:b/>
      <w:bCs/>
      <w:szCs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Lines="0" w:afterAutospacing="0"/>
    </w:p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99"/>
    <w:pPr>
      <w:snapToGrid w:val="0"/>
      <w:spacing w:line="640" w:lineRule="exact"/>
      <w:ind w:firstLine="705"/>
    </w:pPr>
    <w:rPr>
      <w:color w:val="000000"/>
      <w:sz w:val="36"/>
      <w:szCs w:val="36"/>
    </w:rPr>
  </w:style>
  <w:style w:type="paragraph" w:styleId="10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Title"/>
    <w:basedOn w:val="1"/>
    <w:qFormat/>
    <w:uiPriority w:val="10"/>
    <w:pPr>
      <w:jc w:val="center"/>
      <w:outlineLvl w:val="0"/>
    </w:pPr>
    <w:rPr>
      <w:rFonts w:ascii="Arial" w:hAnsi="Arial"/>
      <w:b/>
      <w:sz w:val="32"/>
    </w:rPr>
  </w:style>
  <w:style w:type="paragraph" w:styleId="13">
    <w:name w:val="Body Text First Indent 2"/>
    <w:basedOn w:val="6"/>
    <w:qFormat/>
    <w:uiPriority w:val="0"/>
    <w:pPr>
      <w:ind w:firstLine="420" w:firstLineChars="200"/>
    </w:pPr>
  </w:style>
  <w:style w:type="character" w:customStyle="1" w:styleId="16">
    <w:name w:val="页脚 Char"/>
    <w:basedOn w:val="15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眉 Char"/>
    <w:basedOn w:val="15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NormalCharacter"/>
    <w:qFormat/>
    <w:uiPriority w:val="0"/>
    <w:rPr>
      <w:rFonts w:ascii="Times New Roman" w:hAnsi="Times New Roman" w:eastAsia="仿宋_GB2312" w:cs="Times New Roman"/>
      <w:color w:val="auto"/>
      <w:kern w:val="2"/>
      <w:sz w:val="32"/>
      <w:szCs w:val="32"/>
      <w:lang w:val="en-US" w:eastAsia="zh-CN" w:bidi="ar-SA"/>
    </w:rPr>
  </w:style>
  <w:style w:type="paragraph" w:customStyle="1" w:styleId="19">
    <w:name w:val="样式1"/>
    <w:basedOn w:val="1"/>
    <w:qFormat/>
    <w:uiPriority w:val="0"/>
    <w:pPr>
      <w:spacing w:after="150" w:line="580" w:lineRule="exact"/>
      <w:ind w:firstLine="200" w:firstLineChars="200"/>
      <w:jc w:val="left"/>
    </w:pPr>
    <w:rPr>
      <w:rFonts w:ascii="仿宋_GB2312" w:hAnsi="仿宋" w:eastAsia="仿宋_GB2312" w:cs="仿宋"/>
      <w:sz w:val="32"/>
      <w:szCs w:val="32"/>
    </w:rPr>
  </w:style>
  <w:style w:type="paragraph" w:customStyle="1" w:styleId="20">
    <w:name w:val="msolistparagraph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2788</Words>
  <Characters>2906</Characters>
  <Lines>1</Lines>
  <Paragraphs>1</Paragraphs>
  <TotalTime>6</TotalTime>
  <ScaleCrop>false</ScaleCrop>
  <LinksUpToDate>false</LinksUpToDate>
  <CharactersWithSpaces>2949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2019-02-26T12:00:00Z</dcterms:created>
  <dc:creator>CN=黄伟/O=wh.torch</dc:creator>
  <cp:lastModifiedBy>Chellfansy</cp:lastModifiedBy>
  <cp:lastPrinted>2025-01-02T00:14:00Z</cp:lastPrinted>
  <dcterms:modified xsi:type="dcterms:W3CDTF">2025-01-23T02:36:18Z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DC87EF3F6F614ACEBB61B9B97B2ED529_12</vt:lpwstr>
  </property>
  <property fmtid="{D5CDD505-2E9C-101B-9397-08002B2CF9AE}" pid="4" name="KSOTemplateDocerSaveRecord">
    <vt:lpwstr>eyJoZGlkIjoiNmI3OTk3NWU2MmQyM2NiYWYxZDI4MWZkNWExMzk5ZjQiLCJ1c2VySWQiOiI0OTkwOTA4MTQifQ==</vt:lpwstr>
  </property>
</Properties>
</file>