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4507"/>
        </w:tabs>
        <w:spacing w:line="578" w:lineRule="exact"/>
        <w:jc w:val="left"/>
        <w:rPr>
          <w:rFonts w:ascii="宋体" w:hAnsi="宋体"/>
          <w:sz w:val="44"/>
        </w:rPr>
      </w:pPr>
      <w:r>
        <w:rPr>
          <w:rFonts w:ascii="宋体" w:hAnsi="宋体"/>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keepNext w:val="0"/>
        <w:keepLines w:val="0"/>
        <w:pageBreakBefore w:val="0"/>
        <w:kinsoku/>
        <w:wordWrap/>
        <w:overflowPunct/>
        <w:topLinePunct w:val="0"/>
        <w:autoSpaceDE/>
        <w:autoSpaceDN/>
        <w:bidi w:val="0"/>
        <w:adjustRightInd w:val="0"/>
        <w:snapToGrid w:val="0"/>
        <w:spacing w:line="578"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威海火炬高技术产业开发区管理委员会</w:t>
      </w:r>
    </w:p>
    <w:p>
      <w:pPr>
        <w:keepNext w:val="0"/>
        <w:keepLines w:val="0"/>
        <w:pageBreakBefore w:val="0"/>
        <w:kinsoku/>
        <w:wordWrap/>
        <w:overflowPunct/>
        <w:topLinePunct w:val="0"/>
        <w:autoSpaceDE/>
        <w:autoSpaceDN/>
        <w:bidi w:val="0"/>
        <w:spacing w:line="578" w:lineRule="exact"/>
        <w:ind w:left="1760" w:hanging="1760" w:hangingChars="400"/>
        <w:jc w:val="center"/>
        <w:textAlignment w:val="auto"/>
        <w:rPr>
          <w:rFonts w:hint="eastAsia" w:ascii="Times New Roman" w:hAnsi="Times New Roman" w:eastAsia="方正小标宋简体" w:cs="方正小标宋简体"/>
          <w:kern w:val="2"/>
          <w:sz w:val="44"/>
          <w:szCs w:val="44"/>
          <w:shd w:val="clear" w:color="auto" w:fill="FFFFFF"/>
        </w:rPr>
      </w:pPr>
      <w:r>
        <w:rPr>
          <w:rFonts w:hint="eastAsia" w:ascii="Times New Roman" w:hAnsi="Times New Roman" w:eastAsia="方正小标宋简体" w:cs="方正小标宋简体"/>
          <w:kern w:val="2"/>
          <w:sz w:val="44"/>
          <w:szCs w:val="44"/>
          <w:shd w:val="clear" w:color="auto" w:fill="FFFFFF"/>
        </w:rPr>
        <w:t>关于推进企业利用资本市场加快</w:t>
      </w:r>
    </w:p>
    <w:p>
      <w:pPr>
        <w:keepNext w:val="0"/>
        <w:keepLines w:val="0"/>
        <w:pageBreakBefore w:val="0"/>
        <w:kinsoku/>
        <w:wordWrap/>
        <w:overflowPunct/>
        <w:topLinePunct w:val="0"/>
        <w:autoSpaceDE/>
        <w:autoSpaceDN/>
        <w:bidi w:val="0"/>
        <w:spacing w:line="578" w:lineRule="exact"/>
        <w:ind w:left="1760" w:hanging="1760" w:hangingChars="400"/>
        <w:jc w:val="center"/>
        <w:textAlignment w:val="auto"/>
        <w:rPr>
          <w:rFonts w:ascii="仿宋_GB2312" w:eastAsia="仿宋_GB2312" w:cs="仿宋_GB2312"/>
          <w:sz w:val="32"/>
          <w:szCs w:val="32"/>
        </w:rPr>
      </w:pPr>
      <w:r>
        <w:rPr>
          <w:rFonts w:hint="eastAsia" w:ascii="Times New Roman" w:hAnsi="Times New Roman" w:eastAsia="方正小标宋简体" w:cs="方正小标宋简体"/>
          <w:kern w:val="2"/>
          <w:sz w:val="44"/>
          <w:szCs w:val="44"/>
          <w:shd w:val="clear" w:color="auto" w:fill="FFFFFF"/>
        </w:rPr>
        <w:t>发展若干政策的意见</w:t>
      </w:r>
    </w:p>
    <w:p>
      <w:pPr>
        <w:keepNext w:val="0"/>
        <w:keepLines w:val="0"/>
        <w:pageBreakBefore w:val="0"/>
        <w:kinsoku/>
        <w:wordWrap/>
        <w:overflowPunct/>
        <w:topLinePunct w:val="0"/>
        <w:autoSpaceDE/>
        <w:autoSpaceDN/>
        <w:bidi w:val="0"/>
        <w:spacing w:line="578" w:lineRule="exact"/>
        <w:textAlignment w:val="auto"/>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pPr>
    </w:p>
    <w:p>
      <w:pPr>
        <w:keepNext w:val="0"/>
        <w:keepLines w:val="0"/>
        <w:pageBreakBefore w:val="0"/>
        <w:kinsoku/>
        <w:wordWrap/>
        <w:overflowPunct/>
        <w:topLinePunct w:val="0"/>
        <w:autoSpaceDE/>
        <w:autoSpaceDN/>
        <w:bidi w:val="0"/>
        <w:spacing w:line="578" w:lineRule="exact"/>
        <w:textAlignment w:val="auto"/>
        <w:rPr>
          <w:rFonts w:ascii="仿宋_GB2312" w:eastAsia="仿宋_GB2312" w:cs="仿宋_GB2312"/>
          <w:sz w:val="32"/>
          <w:szCs w:val="32"/>
        </w:rPr>
      </w:pPr>
      <w:r>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t>区直各部门，各镇、街道</w:t>
      </w:r>
      <w:r>
        <w:rPr>
          <w:rFonts w:hint="eastAsia" w:eastAsia="仿宋_GB2312" w:cs="仿宋_GB2312"/>
          <w:color w:val="000000" w:themeColor="text1"/>
          <w:spacing w:val="0"/>
          <w:sz w:val="32"/>
          <w:szCs w:val="32"/>
          <w:lang w:eastAsia="zh-CN"/>
          <w14:textFill>
            <w14:solidFill>
              <w14:schemeClr w14:val="tx1"/>
            </w14:solidFill>
          </w14:textFill>
        </w:rPr>
        <w:t>，中央、省、市属驻区单位，区属国有企业</w:t>
      </w:r>
      <w:r>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为深入贯彻落实中央、省</w:t>
      </w:r>
      <w:r>
        <w:rPr>
          <w:rFonts w:hint="eastAsia" w:ascii="Times New Roman" w:hAnsi="Times New Roman" w:eastAsia="仿宋_GB2312"/>
          <w:sz w:val="32"/>
          <w:szCs w:val="32"/>
          <w:lang w:eastAsia="zh-CN"/>
        </w:rPr>
        <w:t>委</w:t>
      </w:r>
      <w:r>
        <w:rPr>
          <w:rFonts w:hint="eastAsia" w:ascii="Times New Roman" w:hAnsi="Times New Roman" w:eastAsia="仿宋_GB2312"/>
          <w:sz w:val="32"/>
          <w:szCs w:val="32"/>
        </w:rPr>
        <w:t>、市</w:t>
      </w:r>
      <w:r>
        <w:rPr>
          <w:rFonts w:hint="eastAsia" w:ascii="Times New Roman" w:hAnsi="Times New Roman" w:eastAsia="仿宋_GB2312"/>
          <w:sz w:val="32"/>
          <w:szCs w:val="32"/>
          <w:lang w:eastAsia="zh-CN"/>
        </w:rPr>
        <w:t>委</w:t>
      </w:r>
      <w:r>
        <w:rPr>
          <w:rFonts w:hint="eastAsia" w:ascii="Times New Roman" w:hAnsi="Times New Roman" w:eastAsia="仿宋_GB2312"/>
          <w:sz w:val="32"/>
          <w:szCs w:val="32"/>
        </w:rPr>
        <w:t>经济</w:t>
      </w:r>
      <w:r>
        <w:rPr>
          <w:rFonts w:hint="eastAsia" w:ascii="Times New Roman" w:hAnsi="Times New Roman" w:eastAsia="仿宋_GB2312"/>
          <w:sz w:val="32"/>
          <w:szCs w:val="32"/>
          <w:lang w:eastAsia="zh-CN"/>
        </w:rPr>
        <w:t>工作</w:t>
      </w:r>
      <w:r>
        <w:rPr>
          <w:rFonts w:hint="eastAsia" w:ascii="Times New Roman" w:hAnsi="Times New Roman" w:eastAsia="仿宋_GB2312"/>
          <w:sz w:val="32"/>
          <w:szCs w:val="32"/>
        </w:rPr>
        <w:t>会议精神，推动企业冲击新目标、实现高质量发展，鼓励和引导企业通过资本市场实现资源优化配置和制度创新，支持企业做优主业、做大规模、做强实力，成为服务</w:t>
      </w:r>
      <w:r>
        <w:rPr>
          <w:rFonts w:hint="eastAsia" w:eastAsia="仿宋_GB2312"/>
          <w:sz w:val="32"/>
          <w:szCs w:val="32"/>
          <w:lang w:eastAsia="zh-CN"/>
        </w:rPr>
        <w:t>高</w:t>
      </w:r>
      <w:r>
        <w:rPr>
          <w:rFonts w:hint="eastAsia" w:ascii="Times New Roman" w:hAnsi="Times New Roman" w:eastAsia="仿宋_GB2312"/>
          <w:sz w:val="32"/>
          <w:szCs w:val="32"/>
        </w:rPr>
        <w:t>区经济社会发展和改革创新的骨干力量，现就推动</w:t>
      </w:r>
      <w:r>
        <w:rPr>
          <w:rFonts w:hint="eastAsia" w:eastAsia="仿宋_GB2312"/>
          <w:sz w:val="32"/>
          <w:szCs w:val="32"/>
          <w:lang w:eastAsia="zh-CN"/>
        </w:rPr>
        <w:t>高</w:t>
      </w:r>
      <w:r>
        <w:rPr>
          <w:rFonts w:hint="eastAsia" w:ascii="Times New Roman" w:hAnsi="Times New Roman" w:eastAsia="仿宋_GB2312"/>
          <w:sz w:val="32"/>
          <w:szCs w:val="32"/>
        </w:rPr>
        <w:t>区企业利用资本市场加快发展提出以下意见：</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黑体" w:cs="黑体"/>
          <w:sz w:val="32"/>
          <w:szCs w:val="32"/>
        </w:rPr>
      </w:pPr>
      <w:r>
        <w:rPr>
          <w:rFonts w:hint="eastAsia" w:ascii="Times New Roman" w:hAnsi="Times New Roman" w:eastAsia="黑体" w:cs="黑体"/>
          <w:sz w:val="32"/>
          <w:szCs w:val="32"/>
        </w:rPr>
        <w:t>一、总体思路</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全力抓住当前资本市场改革发展等重大机遇，充分利用资本市场对于优化资源配置的重要作用，把加快企业挂牌上市作为全</w:t>
      </w:r>
      <w:r>
        <w:rPr>
          <w:rFonts w:hint="eastAsia" w:ascii="Times New Roman" w:hAnsi="Times New Roman" w:eastAsia="仿宋_GB2312"/>
          <w:sz w:val="32"/>
          <w:szCs w:val="32"/>
          <w:lang w:val="en-US" w:eastAsia="zh-CN"/>
        </w:rPr>
        <w:t>区</w:t>
      </w:r>
      <w:r>
        <w:rPr>
          <w:rFonts w:hint="eastAsia" w:ascii="Times New Roman" w:hAnsi="Times New Roman" w:eastAsia="仿宋_GB2312"/>
          <w:sz w:val="32"/>
          <w:szCs w:val="32"/>
        </w:rPr>
        <w:t>优化产业结构、促进转型升级、保持经济持续快速增长、增强区域发展动力的重要举措，进一步强化政策引导，优化服务环境，大力培育上市资源，加快股份制企业进入境内外、场内外多层次资本市场，通过资本市场集聚要素、整合资源、提升产业能级和综合竞争力，推动企业转型发展，奋力开创</w:t>
      </w:r>
      <w:r>
        <w:rPr>
          <w:rFonts w:hint="eastAsia" w:eastAsia="仿宋_GB2312"/>
          <w:sz w:val="32"/>
          <w:szCs w:val="32"/>
          <w:lang w:eastAsia="zh-CN"/>
        </w:rPr>
        <w:t>高质量发展</w:t>
      </w:r>
      <w:r>
        <w:rPr>
          <w:rFonts w:hint="eastAsia" w:ascii="Times New Roman" w:hAnsi="Times New Roman" w:eastAsia="仿宋_GB2312"/>
          <w:sz w:val="32"/>
          <w:szCs w:val="32"/>
        </w:rPr>
        <w:t>新局面。</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黑体" w:cs="黑体"/>
          <w:sz w:val="32"/>
          <w:szCs w:val="32"/>
        </w:rPr>
      </w:pPr>
      <w:r>
        <w:rPr>
          <w:rFonts w:hint="eastAsia" w:ascii="Times New Roman" w:hAnsi="Times New Roman" w:eastAsia="黑体" w:cs="黑体"/>
          <w:sz w:val="32"/>
          <w:szCs w:val="32"/>
        </w:rPr>
        <w:t>二、加大政策引导和扶持力度</w:t>
      </w:r>
    </w:p>
    <w:p>
      <w:pPr>
        <w:keepNext w:val="0"/>
        <w:keepLines w:val="0"/>
        <w:pageBreakBefore w:val="0"/>
        <w:kinsoku/>
        <w:wordWrap/>
        <w:overflowPunct/>
        <w:topLinePunct w:val="0"/>
        <w:autoSpaceDE/>
        <w:autoSpaceDN/>
        <w:bidi w:val="0"/>
        <w:adjustRightInd/>
        <w:snapToGrid/>
        <w:spacing w:line="578" w:lineRule="exact"/>
        <w:textAlignment w:val="auto"/>
        <w:rPr>
          <w:rFonts w:ascii="Times New Roman" w:hAnsi="Times New Roman" w:eastAsia="楷体_GB2312" w:cs="楷体_GB2312"/>
          <w:sz w:val="32"/>
          <w:szCs w:val="32"/>
        </w:rPr>
      </w:pPr>
      <w:r>
        <w:rPr>
          <w:rFonts w:hint="eastAsia" w:ascii="Times New Roman" w:hAnsi="Times New Roman" w:eastAsia="楷体_GB2312" w:cs="楷体_GB2312"/>
          <w:sz w:val="32"/>
          <w:szCs w:val="32"/>
        </w:rPr>
        <w:t xml:space="preserve">    （一）支持企业上市融资</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支持符合条件的企业赴境内外证券交易所上市融资，实施高新技术企业上市培育计划，推动一批具有关键核心技术、具有较强成长性的高新技术企业上市。鼓励外地优质上市公司迁入</w:t>
      </w:r>
      <w:r>
        <w:rPr>
          <w:rFonts w:hint="default" w:eastAsia="仿宋_GB2312"/>
          <w:sz w:val="32"/>
          <w:szCs w:val="32"/>
          <w:lang w:val="en"/>
        </w:rPr>
        <w:t>高</w:t>
      </w:r>
      <w:r>
        <w:rPr>
          <w:rFonts w:hint="eastAsia" w:ascii="Times New Roman" w:hAnsi="Times New Roman" w:eastAsia="仿宋_GB2312"/>
          <w:sz w:val="32"/>
          <w:szCs w:val="32"/>
        </w:rPr>
        <w:t xml:space="preserve">区，打造上市公司“高区板块”。 </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color w:val="000000" w:themeColor="text1"/>
          <w:sz w:val="32"/>
          <w:szCs w:val="32"/>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olor w:val="000000" w:themeColor="text1"/>
          <w:sz w:val="32"/>
          <w:szCs w:val="32"/>
          <w14:textFill>
            <w14:solidFill>
              <w14:schemeClr w14:val="tx1"/>
            </w14:solidFill>
          </w14:textFill>
        </w:rPr>
        <w:t>对拟境内上市的企业（不</w:t>
      </w:r>
      <w:r>
        <w:rPr>
          <w:rFonts w:ascii="Times New Roman" w:hAnsi="Times New Roman" w:eastAsia="仿宋_GB2312"/>
          <w:color w:val="000000" w:themeColor="text1"/>
          <w:sz w:val="32"/>
          <w:szCs w:val="32"/>
          <w14:textFill>
            <w14:solidFill>
              <w14:schemeClr w14:val="tx1"/>
            </w14:solidFill>
          </w14:textFill>
        </w:rPr>
        <w:t>包含北京证券交</w:t>
      </w:r>
      <w:r>
        <w:rPr>
          <w:rFonts w:hint="eastAsia" w:ascii="Times New Roman" w:hAnsi="Times New Roman" w:eastAsia="仿宋_GB2312"/>
          <w:color w:val="000000" w:themeColor="text1"/>
          <w:sz w:val="32"/>
          <w:szCs w:val="32"/>
          <w14:textFill>
            <w14:solidFill>
              <w14:schemeClr w14:val="tx1"/>
            </w14:solidFill>
          </w14:textFill>
        </w:rPr>
        <w:t>易</w:t>
      </w:r>
      <w:r>
        <w:rPr>
          <w:rFonts w:ascii="Times New Roman" w:hAnsi="Times New Roman" w:eastAsia="仿宋_GB2312"/>
          <w:color w:val="000000" w:themeColor="text1"/>
          <w:sz w:val="32"/>
          <w:szCs w:val="32"/>
          <w14:textFill>
            <w14:solidFill>
              <w14:schemeClr w14:val="tx1"/>
            </w14:solidFill>
          </w14:textFill>
        </w:rPr>
        <w:t>所）</w:t>
      </w:r>
      <w:r>
        <w:rPr>
          <w:rFonts w:hint="eastAsia" w:ascii="Times New Roman" w:hAnsi="Times New Roman" w:eastAsia="仿宋_GB2312"/>
          <w:color w:val="000000" w:themeColor="text1"/>
          <w:sz w:val="32"/>
          <w:szCs w:val="32"/>
          <w14:textFill>
            <w14:solidFill>
              <w14:schemeClr w14:val="tx1"/>
            </w14:solidFill>
          </w14:textFill>
        </w:rPr>
        <w:t>，根据上市工作实施进程分阶段最高补助500万元。按照当前审核机制，拟上市企业在中国证监会山东监管局完成报备并正式进入辅导期的，一次性补助不超过</w:t>
      </w:r>
      <w:r>
        <w:rPr>
          <w:rFonts w:ascii="Times New Roman" w:hAnsi="Times New Roman" w:eastAsia="仿宋_GB2312"/>
          <w:color w:val="000000" w:themeColor="text1"/>
          <w:sz w:val="32"/>
          <w:szCs w:val="32"/>
          <w14:textFill>
            <w14:solidFill>
              <w14:schemeClr w14:val="tx1"/>
            </w14:solidFill>
          </w14:textFill>
        </w:rPr>
        <w:t>150</w:t>
      </w:r>
      <w:r>
        <w:rPr>
          <w:rFonts w:hint="eastAsia" w:ascii="Times New Roman" w:hAnsi="Times New Roman" w:eastAsia="仿宋_GB2312"/>
          <w:color w:val="000000" w:themeColor="text1"/>
          <w:sz w:val="32"/>
          <w:szCs w:val="32"/>
          <w14:textFill>
            <w14:solidFill>
              <w14:schemeClr w14:val="tx1"/>
            </w14:solidFill>
          </w14:textFill>
        </w:rPr>
        <w:t>万元；上市申报材料被正式受理的，一次性补助不超过</w:t>
      </w:r>
      <w:r>
        <w:rPr>
          <w:rFonts w:ascii="Times New Roman" w:hAnsi="Times New Roman" w:eastAsia="仿宋_GB2312"/>
          <w:color w:val="000000" w:themeColor="text1"/>
          <w:sz w:val="32"/>
          <w:szCs w:val="32"/>
          <w14:textFill>
            <w14:solidFill>
              <w14:schemeClr w14:val="tx1"/>
            </w14:solidFill>
          </w14:textFill>
        </w:rPr>
        <w:t>150</w:t>
      </w:r>
      <w:r>
        <w:rPr>
          <w:rFonts w:hint="eastAsia" w:ascii="Times New Roman" w:hAnsi="Times New Roman" w:eastAsia="仿宋_GB2312"/>
          <w:color w:val="000000" w:themeColor="text1"/>
          <w:sz w:val="32"/>
          <w:szCs w:val="32"/>
          <w14:textFill>
            <w14:solidFill>
              <w14:schemeClr w14:val="tx1"/>
            </w14:solidFill>
          </w14:textFill>
        </w:rPr>
        <w:t>万元；上市成功的，一次性补助不超过</w:t>
      </w:r>
      <w:r>
        <w:rPr>
          <w:rFonts w:ascii="Times New Roman" w:hAnsi="Times New Roman" w:eastAsia="仿宋_GB2312"/>
          <w:color w:val="000000" w:themeColor="text1"/>
          <w:sz w:val="32"/>
          <w:szCs w:val="32"/>
          <w14:textFill>
            <w14:solidFill>
              <w14:schemeClr w14:val="tx1"/>
            </w14:solidFill>
          </w14:textFill>
        </w:rPr>
        <w:t>200</w:t>
      </w:r>
      <w:r>
        <w:rPr>
          <w:rFonts w:hint="eastAsia" w:ascii="Times New Roman" w:hAnsi="Times New Roman" w:eastAsia="仿宋_GB2312"/>
          <w:color w:val="000000" w:themeColor="text1"/>
          <w:sz w:val="32"/>
          <w:szCs w:val="32"/>
          <w14:textFill>
            <w14:solidFill>
              <w14:schemeClr w14:val="tx1"/>
            </w14:solidFill>
          </w14:textFill>
        </w:rPr>
        <w:t>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color w:val="000000" w:themeColor="text1"/>
          <w:sz w:val="32"/>
          <w:szCs w:val="32"/>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olor w:val="000000" w:themeColor="text1"/>
          <w:sz w:val="32"/>
          <w:szCs w:val="32"/>
          <w14:textFill>
            <w14:solidFill>
              <w14:schemeClr w14:val="tx1"/>
            </w14:solidFill>
          </w14:textFill>
        </w:rPr>
        <w:t>对拟境外上市的企业，经境外证券监管机构或证券交易所受理的，一次性补助不超过</w:t>
      </w:r>
      <w:r>
        <w:rPr>
          <w:rFonts w:ascii="Times New Roman" w:hAnsi="Times New Roman" w:eastAsia="仿宋_GB2312"/>
          <w:color w:val="000000" w:themeColor="text1"/>
          <w:sz w:val="32"/>
          <w:szCs w:val="32"/>
          <w14:textFill>
            <w14:solidFill>
              <w14:schemeClr w14:val="tx1"/>
            </w14:solidFill>
          </w14:textFill>
        </w:rPr>
        <w:t>200</w:t>
      </w:r>
      <w:r>
        <w:rPr>
          <w:rFonts w:hint="eastAsia" w:ascii="Times New Roman" w:hAnsi="Times New Roman" w:eastAsia="仿宋_GB2312"/>
          <w:color w:val="000000" w:themeColor="text1"/>
          <w:sz w:val="32"/>
          <w:szCs w:val="32"/>
          <w14:textFill>
            <w14:solidFill>
              <w14:schemeClr w14:val="tx1"/>
            </w14:solidFill>
          </w14:textFill>
        </w:rPr>
        <w:t>万元；境外上市成功的，一次性补助不超过</w:t>
      </w:r>
      <w:r>
        <w:rPr>
          <w:rFonts w:ascii="Times New Roman" w:hAnsi="Times New Roman" w:eastAsia="仿宋_GB2312"/>
          <w:color w:val="000000" w:themeColor="text1"/>
          <w:sz w:val="32"/>
          <w:szCs w:val="32"/>
          <w14:textFill>
            <w14:solidFill>
              <w14:schemeClr w14:val="tx1"/>
            </w14:solidFill>
          </w14:textFill>
        </w:rPr>
        <w:t>300</w:t>
      </w:r>
      <w:r>
        <w:rPr>
          <w:rFonts w:hint="eastAsia" w:ascii="Times New Roman" w:hAnsi="Times New Roman" w:eastAsia="仿宋_GB2312"/>
          <w:color w:val="000000" w:themeColor="text1"/>
          <w:sz w:val="32"/>
          <w:szCs w:val="32"/>
          <w14:textFill>
            <w14:solidFill>
              <w14:schemeClr w14:val="tx1"/>
            </w14:solidFill>
          </w14:textFill>
        </w:rPr>
        <w:t>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shd w:val="clear" w:color="auto" w:fill="FFFFFF"/>
          <w14:textFill>
            <w14:solidFill>
              <w14:schemeClr w14:val="tx1"/>
            </w14:solidFill>
          </w14:textFill>
        </w:rPr>
        <w:t>3</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w:t>
      </w:r>
      <w:r>
        <w:rPr>
          <w:rFonts w:hint="eastAsia" w:ascii="Times New Roman" w:hAnsi="Times New Roman" w:eastAsia="仿宋_GB2312" w:cs="仿宋_GB2312"/>
          <w:color w:val="000000" w:themeColor="text1"/>
          <w:sz w:val="32"/>
          <w:szCs w:val="32"/>
          <w:shd w:val="clear" w:color="auto" w:fill="FFFFFF"/>
          <w14:textFill>
            <w14:solidFill>
              <w14:schemeClr w14:val="tx1"/>
            </w14:solidFill>
          </w14:textFill>
        </w:rPr>
        <w:t>对纳入冲击新目标监测统计的企业，在境内外首次公开发行上市（包含北</w:t>
      </w:r>
      <w:r>
        <w:rPr>
          <w:rFonts w:ascii="Times New Roman" w:hAnsi="Times New Roman" w:eastAsia="仿宋_GB2312" w:cs="仿宋_GB2312"/>
          <w:color w:val="000000" w:themeColor="text1"/>
          <w:sz w:val="32"/>
          <w:szCs w:val="32"/>
          <w:shd w:val="clear" w:color="auto" w:fill="FFFFFF"/>
          <w14:textFill>
            <w14:solidFill>
              <w14:schemeClr w14:val="tx1"/>
            </w14:solidFill>
          </w14:textFill>
        </w:rPr>
        <w:t>京证券交</w:t>
      </w:r>
      <w:r>
        <w:rPr>
          <w:rFonts w:hint="eastAsia" w:ascii="Times New Roman" w:hAnsi="Times New Roman" w:eastAsia="仿宋_GB2312" w:cs="仿宋_GB2312"/>
          <w:color w:val="000000" w:themeColor="text1"/>
          <w:sz w:val="32"/>
          <w:szCs w:val="32"/>
          <w:shd w:val="clear" w:color="auto" w:fill="FFFFFF"/>
          <w14:textFill>
            <w14:solidFill>
              <w14:schemeClr w14:val="tx1"/>
            </w14:solidFill>
          </w14:textFill>
        </w:rPr>
        <w:t>易</w:t>
      </w:r>
      <w:r>
        <w:rPr>
          <w:rFonts w:ascii="Times New Roman" w:hAnsi="Times New Roman" w:eastAsia="仿宋_GB2312" w:cs="仿宋_GB2312"/>
          <w:color w:val="000000" w:themeColor="text1"/>
          <w:sz w:val="32"/>
          <w:szCs w:val="32"/>
          <w:shd w:val="clear" w:color="auto" w:fill="FFFFFF"/>
          <w14:textFill>
            <w14:solidFill>
              <w14:schemeClr w14:val="tx1"/>
            </w14:solidFill>
          </w14:textFill>
        </w:rPr>
        <w:t>所</w:t>
      </w:r>
      <w:r>
        <w:rPr>
          <w:rFonts w:hint="eastAsia" w:ascii="Times New Roman" w:hAnsi="Times New Roman" w:eastAsia="仿宋_GB2312" w:cs="仿宋_GB2312"/>
          <w:color w:val="000000" w:themeColor="text1"/>
          <w:sz w:val="32"/>
          <w:szCs w:val="32"/>
          <w:shd w:val="clear" w:color="auto" w:fill="FFFFFF"/>
          <w14:textFill>
            <w14:solidFill>
              <w14:schemeClr w14:val="tx1"/>
            </w14:solidFill>
          </w14:textFill>
        </w:rPr>
        <w:t>），成功上市的，除享受上述政策外，一次性额外补助不超过100万元。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color w:val="000000" w:themeColor="text1"/>
          <w:sz w:val="32"/>
          <w:szCs w:val="32"/>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olor w:val="000000" w:themeColor="text1"/>
          <w:sz w:val="32"/>
          <w:szCs w:val="32"/>
          <w14:textFill>
            <w14:solidFill>
              <w14:schemeClr w14:val="tx1"/>
            </w14:solidFill>
          </w14:textFill>
        </w:rPr>
        <w:t>在北京</w:t>
      </w:r>
      <w:r>
        <w:rPr>
          <w:rFonts w:ascii="Times New Roman" w:hAnsi="Times New Roman" w:eastAsia="仿宋_GB2312"/>
          <w:color w:val="000000" w:themeColor="text1"/>
          <w:sz w:val="32"/>
          <w:szCs w:val="32"/>
          <w14:textFill>
            <w14:solidFill>
              <w14:schemeClr w14:val="tx1"/>
            </w14:solidFill>
          </w14:textFill>
        </w:rPr>
        <w:t>证券交易所</w:t>
      </w:r>
      <w:r>
        <w:rPr>
          <w:rFonts w:hint="eastAsia" w:ascii="Times New Roman" w:hAnsi="Times New Roman" w:eastAsia="仿宋_GB2312"/>
          <w:color w:val="000000" w:themeColor="text1"/>
          <w:sz w:val="32"/>
          <w:szCs w:val="32"/>
          <w14:textFill>
            <w14:solidFill>
              <w14:schemeClr w14:val="tx1"/>
            </w14:solidFill>
          </w14:textFill>
        </w:rPr>
        <w:t>首次公开发行融资的企业，</w:t>
      </w:r>
      <w:r>
        <w:rPr>
          <w:rFonts w:hint="eastAsia" w:ascii="Times New Roman" w:hAnsi="Times New Roman" w:eastAsia="仿宋_GB2312" w:cs="仿宋_GB2312"/>
          <w:color w:val="000000" w:themeColor="text1"/>
          <w:sz w:val="32"/>
          <w:szCs w:val="32"/>
          <w:shd w:val="clear" w:color="auto" w:fill="FFFFFF"/>
          <w14:textFill>
            <w14:solidFill>
              <w14:schemeClr w14:val="tx1"/>
            </w14:solidFill>
          </w14:textFill>
        </w:rPr>
        <w:t>在进入辅导、申报受理、成功上市三个阶段，</w:t>
      </w:r>
      <w:r>
        <w:rPr>
          <w:rFonts w:hint="eastAsia" w:ascii="Times New Roman" w:hAnsi="Times New Roman" w:eastAsia="仿宋_GB2312"/>
          <w:color w:val="000000" w:themeColor="text1"/>
          <w:sz w:val="32"/>
          <w:szCs w:val="32"/>
          <w14:textFill>
            <w14:solidFill>
              <w14:schemeClr w14:val="tx1"/>
            </w14:solidFill>
          </w14:textFill>
        </w:rPr>
        <w:t>一次性分别补助不超过</w:t>
      </w:r>
      <w:r>
        <w:rPr>
          <w:rFonts w:ascii="Times New Roman" w:hAnsi="Times New Roman" w:eastAsia="仿宋_GB2312"/>
          <w:color w:val="000000" w:themeColor="text1"/>
          <w:sz w:val="32"/>
          <w:szCs w:val="32"/>
          <w14:textFill>
            <w14:solidFill>
              <w14:schemeClr w14:val="tx1"/>
            </w14:solidFill>
          </w14:textFill>
        </w:rPr>
        <w:t>100</w:t>
      </w:r>
      <w:r>
        <w:rPr>
          <w:rFonts w:hint="eastAsia" w:ascii="Times New Roman" w:hAnsi="Times New Roman" w:eastAsia="仿宋_GB2312"/>
          <w:color w:val="000000" w:themeColor="text1"/>
          <w:sz w:val="32"/>
          <w:szCs w:val="32"/>
          <w14:textFill>
            <w14:solidFill>
              <w14:schemeClr w14:val="tx1"/>
            </w14:solidFill>
          </w14:textFill>
        </w:rPr>
        <w:t>万元。</w:t>
      </w:r>
      <w:r>
        <w:rPr>
          <w:rFonts w:ascii="Times New Roman" w:hAnsi="Times New Roman" w:eastAsia="仿宋_GB2312"/>
          <w:color w:val="FF0000"/>
          <w:sz w:val="32"/>
          <w:szCs w:val="32"/>
        </w:rPr>
        <w:t xml:space="preserve"> </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sz w:val="32"/>
          <w:szCs w:val="32"/>
        </w:rPr>
        <w:t>5</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企业将上市公司注册地迁至</w:t>
      </w:r>
      <w:r>
        <w:rPr>
          <w:rFonts w:hint="default" w:eastAsia="仿宋_GB2312"/>
          <w:sz w:val="32"/>
          <w:szCs w:val="32"/>
          <w:lang w:val="en"/>
        </w:rPr>
        <w:t>高</w:t>
      </w:r>
      <w:r>
        <w:rPr>
          <w:rFonts w:hint="eastAsia" w:ascii="Times New Roman" w:hAnsi="Times New Roman" w:eastAsia="仿宋_GB2312"/>
          <w:sz w:val="32"/>
          <w:szCs w:val="32"/>
        </w:rPr>
        <w:t>区的，一次性补助不超过</w:t>
      </w:r>
      <w:r>
        <w:rPr>
          <w:rFonts w:ascii="Times New Roman" w:hAnsi="Times New Roman" w:eastAsia="仿宋_GB2312"/>
          <w:color w:val="000000" w:themeColor="text1"/>
          <w:sz w:val="32"/>
          <w:szCs w:val="32"/>
          <w14:textFill>
            <w14:solidFill>
              <w14:schemeClr w14:val="tx1"/>
            </w14:solidFill>
          </w14:textFill>
        </w:rPr>
        <w:t>4</w:t>
      </w:r>
      <w:r>
        <w:rPr>
          <w:rFonts w:hint="eastAsia" w:ascii="Times New Roman" w:hAnsi="Times New Roman" w:eastAsia="仿宋_GB2312"/>
          <w:color w:val="000000" w:themeColor="text1"/>
          <w:sz w:val="32"/>
          <w:szCs w:val="32"/>
          <w14:textFill>
            <w14:solidFill>
              <w14:schemeClr w14:val="tx1"/>
            </w14:solidFill>
          </w14:textFill>
        </w:rPr>
        <w:t>00</w:t>
      </w:r>
      <w:r>
        <w:rPr>
          <w:rFonts w:ascii="Times New Roman" w:hAnsi="Times New Roman" w:eastAsia="仿宋_GB2312"/>
          <w:color w:val="000000" w:themeColor="text1"/>
          <w:sz w:val="32"/>
          <w:szCs w:val="32"/>
          <w14:textFill>
            <w14:solidFill>
              <w14:schemeClr w14:val="tx1"/>
            </w14:solidFill>
          </w14:textFill>
        </w:rPr>
        <w:t>万元</w:t>
      </w:r>
      <w:r>
        <w:rPr>
          <w:rFonts w:hint="eastAsia" w:ascii="Times New Roman" w:hAnsi="Times New Roman" w:eastAsia="仿宋_GB2312"/>
          <w:sz w:val="32"/>
        </w:rPr>
        <w:t>。</w:t>
      </w:r>
    </w:p>
    <w:p>
      <w:pPr>
        <w:keepNext w:val="0"/>
        <w:keepLines w:val="0"/>
        <w:pageBreakBefore w:val="0"/>
        <w:kinsoku/>
        <w:wordWrap/>
        <w:overflowPunct/>
        <w:topLinePunct w:val="0"/>
        <w:autoSpaceDE/>
        <w:autoSpaceDN/>
        <w:bidi w:val="0"/>
        <w:adjustRightInd/>
        <w:snapToGrid/>
        <w:spacing w:line="578" w:lineRule="exact"/>
        <w:ind w:firstLine="640"/>
        <w:textAlignment w:val="auto"/>
        <w:rPr>
          <w:rFonts w:ascii="Times New Roman" w:hAnsi="Times New Roman" w:eastAsia="楷体_GB2312" w:cs="楷体_GB2312"/>
          <w:sz w:val="32"/>
          <w:szCs w:val="32"/>
        </w:rPr>
      </w:pPr>
      <w:r>
        <w:rPr>
          <w:rFonts w:hint="eastAsia" w:ascii="Times New Roman" w:hAnsi="Times New Roman" w:eastAsia="楷体_GB2312" w:cs="楷体_GB2312"/>
          <w:sz w:val="32"/>
          <w:szCs w:val="32"/>
        </w:rPr>
        <w:t>（二）支持多层次资本市场挂牌工作</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对暂不具备上市条件的企业，鼓励其到新三板和齐鲁股权交易中心、蓝海股权交易中心等省内区域性股权交易市场挂牌，发挥场外交易市场作用，推进企业多元化融资和规范发展。</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sz w:val="32"/>
          <w:szCs w:val="32"/>
        </w:rPr>
        <w:t>1</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企业在新三板挂牌，一次性补助不超过100万元。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sz w:val="32"/>
          <w:szCs w:val="32"/>
        </w:rPr>
        <w:t>2</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鼓励人才企业、高新技术企业、“专精特新”中小企业、乡村振兴企业在</w:t>
      </w:r>
      <w:r>
        <w:rPr>
          <w:rFonts w:hint="default" w:eastAsia="仿宋_GB2312"/>
          <w:sz w:val="32"/>
          <w:szCs w:val="32"/>
          <w:lang w:val="en"/>
        </w:rPr>
        <w:t>我</w:t>
      </w:r>
      <w:r>
        <w:rPr>
          <w:rFonts w:hint="eastAsia" w:ascii="Times New Roman" w:hAnsi="Times New Roman" w:eastAsia="仿宋_GB2312"/>
          <w:sz w:val="32"/>
          <w:szCs w:val="32"/>
        </w:rPr>
        <w:t>省齐鲁股权交易中心和蓝海股权交易中心挂牌（不含展示性、托管性挂牌等），给予每家不超</w:t>
      </w:r>
      <w:r>
        <w:rPr>
          <w:rFonts w:hint="eastAsia" w:ascii="Times New Roman" w:hAnsi="Times New Roman" w:eastAsia="仿宋_GB2312"/>
          <w:color w:val="000000" w:themeColor="text1"/>
          <w:sz w:val="32"/>
          <w:szCs w:val="32"/>
          <w14:textFill>
            <w14:solidFill>
              <w14:schemeClr w14:val="tx1"/>
            </w14:solidFill>
          </w14:textFill>
        </w:rPr>
        <w:t>过5万</w:t>
      </w:r>
      <w:r>
        <w:rPr>
          <w:rFonts w:hint="eastAsia" w:ascii="Times New Roman" w:hAnsi="Times New Roman" w:eastAsia="仿宋_GB2312"/>
          <w:sz w:val="32"/>
          <w:szCs w:val="32"/>
        </w:rPr>
        <w:t>元补助。</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新三板挂牌企业实现上市，省内区域性股权交易市场挂牌企业转到新三板挂牌或公开发行上市的，按上述补助标准补足差额。</w:t>
      </w:r>
    </w:p>
    <w:p>
      <w:pPr>
        <w:keepNext w:val="0"/>
        <w:keepLines w:val="0"/>
        <w:pageBreakBefore w:val="0"/>
        <w:kinsoku/>
        <w:wordWrap/>
        <w:overflowPunct/>
        <w:topLinePunct w:val="0"/>
        <w:autoSpaceDE/>
        <w:autoSpaceDN/>
        <w:bidi w:val="0"/>
        <w:adjustRightInd/>
        <w:snapToGrid/>
        <w:spacing w:line="578" w:lineRule="exact"/>
        <w:ind w:left="160" w:leftChars="76" w:firstLine="483" w:firstLineChars="151"/>
        <w:textAlignment w:val="auto"/>
        <w:rPr>
          <w:rFonts w:ascii="Times New Roman" w:hAnsi="Times New Roman" w:eastAsia="楷体_GB2312" w:cs="楷体_GB2312"/>
          <w:sz w:val="32"/>
          <w:szCs w:val="32"/>
        </w:rPr>
      </w:pPr>
      <w:r>
        <w:rPr>
          <w:rFonts w:hint="eastAsia" w:ascii="Times New Roman" w:hAnsi="Times New Roman" w:eastAsia="楷体_GB2312" w:cs="楷体_GB2312"/>
          <w:sz w:val="32"/>
          <w:szCs w:val="32"/>
        </w:rPr>
        <w:t>（三）支持企业开展持续资本运作</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鼓励企业通过并购重组、股权融资、发行债券等途径开展持续资本运作，不断提升企业竞争力和综合实力。</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14:textFill>
            <w14:solidFill>
              <w14:schemeClr w14:val="tx1"/>
            </w14:solidFill>
          </w14:textFill>
        </w:rPr>
        <w:t>1</w:t>
      </w:r>
      <w:r>
        <w:rPr>
          <w:rFonts w:hint="eastAsia" w:ascii="仿宋_GB2312" w:hAnsi="仿宋_GB2312" w:eastAsia="仿宋_GB2312" w:cs="仿宋_GB2312"/>
          <w:color w:val="000000" w:themeColor="text1"/>
          <w:sz w:val="32"/>
          <w14:textFill>
            <w14:solidFill>
              <w14:schemeClr w14:val="tx1"/>
            </w14:solidFill>
          </w14:textFill>
        </w:rPr>
        <w:t>.</w:t>
      </w:r>
      <w:r>
        <w:rPr>
          <w:rFonts w:hint="eastAsia" w:ascii="Times New Roman" w:hAnsi="Times New Roman" w:eastAsia="仿宋_GB2312"/>
          <w:color w:val="000000" w:themeColor="text1"/>
          <w:sz w:val="32"/>
          <w14:textFill>
            <w14:solidFill>
              <w14:schemeClr w14:val="tx1"/>
            </w14:solidFill>
          </w14:textFill>
        </w:rPr>
        <w:t>上市公司、新三板挂牌企业实施并购重组，并达到中国证监会关于《上市公司重大资产重组管理办法》规定的重大资产重组标准的，</w:t>
      </w:r>
      <w:r>
        <w:rPr>
          <w:rFonts w:ascii="Times New Roman" w:hAnsi="Times New Roman" w:eastAsia="仿宋_GB2312"/>
          <w:color w:val="000000" w:themeColor="text1"/>
          <w:sz w:val="32"/>
          <w14:textFill>
            <w14:solidFill>
              <w14:schemeClr w14:val="tx1"/>
            </w14:solidFill>
          </w14:textFill>
        </w:rPr>
        <w:t>按实际发生的法律、财务等中介费用给予</w:t>
      </w:r>
      <w:r>
        <w:rPr>
          <w:rFonts w:hint="eastAsia" w:ascii="Times New Roman" w:hAnsi="Times New Roman" w:eastAsia="仿宋_GB2312"/>
          <w:color w:val="000000" w:themeColor="text1"/>
          <w:sz w:val="32"/>
          <w14:textFill>
            <w14:solidFill>
              <w14:schemeClr w14:val="tx1"/>
            </w14:solidFill>
          </w14:textFill>
        </w:rPr>
        <w:t>不超过25</w:t>
      </w:r>
      <w:r>
        <w:rPr>
          <w:rFonts w:hint="default" w:ascii="Times New Roman" w:hAnsi="Times New Roman" w:eastAsia="仿宋_GB2312" w:cs="Times New Roman"/>
          <w:color w:val="000000" w:themeColor="text1"/>
          <w:sz w:val="32"/>
          <w14:textFill>
            <w14:solidFill>
              <w14:schemeClr w14:val="tx1"/>
            </w14:solidFill>
          </w14:textFill>
        </w:rPr>
        <w:t>%</w:t>
      </w:r>
      <w:r>
        <w:rPr>
          <w:rFonts w:ascii="Times New Roman" w:hAnsi="Times New Roman" w:eastAsia="仿宋_GB2312"/>
          <w:color w:val="000000" w:themeColor="text1"/>
          <w:sz w:val="32"/>
          <w14:textFill>
            <w14:solidFill>
              <w14:schemeClr w14:val="tx1"/>
            </w14:solidFill>
          </w14:textFill>
        </w:rPr>
        <w:t>补助，单个项目补助金额不超过</w:t>
      </w:r>
      <w:r>
        <w:rPr>
          <w:rFonts w:hint="eastAsia" w:ascii="Times New Roman" w:hAnsi="Times New Roman" w:eastAsia="仿宋_GB2312"/>
          <w:color w:val="000000" w:themeColor="text1"/>
          <w:sz w:val="32"/>
          <w14:textFill>
            <w14:solidFill>
              <w14:schemeClr w14:val="tx1"/>
            </w14:solidFill>
          </w14:textFill>
        </w:rPr>
        <w:t>50</w:t>
      </w:r>
      <w:r>
        <w:rPr>
          <w:rFonts w:ascii="Times New Roman" w:hAnsi="Times New Roman" w:eastAsia="仿宋_GB2312"/>
          <w:color w:val="000000" w:themeColor="text1"/>
          <w:sz w:val="32"/>
          <w14:textFill>
            <w14:solidFill>
              <w14:schemeClr w14:val="tx1"/>
            </w14:solidFill>
          </w14:textFill>
        </w:rPr>
        <w:t>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仿宋_GB2312"/>
          <w:color w:val="000000" w:themeColor="text1"/>
          <w:sz w:val="32"/>
          <w14:textFill>
            <w14:solidFill>
              <w14:schemeClr w14:val="tx1"/>
            </w14:solidFill>
          </w14:textFill>
        </w:rPr>
        <w:t>2</w:t>
      </w:r>
      <w:r>
        <w:rPr>
          <w:rFonts w:hint="eastAsia" w:ascii="仿宋_GB2312" w:hAnsi="仿宋_GB2312" w:eastAsia="仿宋_GB2312" w:cs="仿宋_GB2312"/>
          <w:color w:val="000000" w:themeColor="text1"/>
          <w:sz w:val="32"/>
          <w14:textFill>
            <w14:solidFill>
              <w14:schemeClr w14:val="tx1"/>
            </w14:solidFill>
          </w14:textFill>
        </w:rPr>
        <w:t>.</w:t>
      </w:r>
      <w:r>
        <w:rPr>
          <w:rFonts w:hint="eastAsia" w:ascii="Times New Roman" w:hAnsi="Times New Roman" w:eastAsia="仿宋_GB2312"/>
          <w:color w:val="000000" w:themeColor="text1"/>
          <w:sz w:val="32"/>
          <w14:textFill>
            <w14:solidFill>
              <w14:schemeClr w14:val="tx1"/>
            </w14:solidFill>
          </w14:textFill>
        </w:rPr>
        <w:t>上市公司采取增发、配股、发行可转债等方式实施再融资，融资额不足10亿元，最高补助</w:t>
      </w:r>
      <w:r>
        <w:rPr>
          <w:rFonts w:ascii="Times New Roman" w:hAnsi="Times New Roman" w:eastAsia="仿宋_GB2312"/>
          <w:color w:val="000000" w:themeColor="text1"/>
          <w:sz w:val="32"/>
          <w14:textFill>
            <w14:solidFill>
              <w14:schemeClr w14:val="tx1"/>
            </w14:solidFill>
          </w14:textFill>
        </w:rPr>
        <w:t>20</w:t>
      </w:r>
      <w:r>
        <w:rPr>
          <w:rFonts w:hint="eastAsia" w:ascii="Times New Roman" w:hAnsi="Times New Roman" w:eastAsia="仿宋_GB2312"/>
          <w:color w:val="000000" w:themeColor="text1"/>
          <w:sz w:val="32"/>
          <w14:textFill>
            <w14:solidFill>
              <w14:schemeClr w14:val="tx1"/>
            </w14:solidFill>
          </w14:textFill>
        </w:rPr>
        <w:t>万</w:t>
      </w:r>
      <w:r>
        <w:rPr>
          <w:rFonts w:hint="eastAsia" w:eastAsia="仿宋_GB2312"/>
          <w:color w:val="000000" w:themeColor="text1"/>
          <w:sz w:val="32"/>
          <w:lang w:eastAsia="zh-CN"/>
          <w14:textFill>
            <w14:solidFill>
              <w14:schemeClr w14:val="tx1"/>
            </w14:solidFill>
          </w14:textFill>
        </w:rPr>
        <w:t>元</w:t>
      </w:r>
      <w:r>
        <w:rPr>
          <w:rFonts w:hint="eastAsia" w:ascii="Times New Roman" w:hAnsi="Times New Roman" w:eastAsia="仿宋_GB2312"/>
          <w:color w:val="000000" w:themeColor="text1"/>
          <w:sz w:val="32"/>
          <w14:textFill>
            <w14:solidFill>
              <w14:schemeClr w14:val="tx1"/>
            </w14:solidFill>
          </w14:textFill>
        </w:rPr>
        <w:t>；融资额达到10亿元（含）以上，最高补助</w:t>
      </w:r>
      <w:r>
        <w:rPr>
          <w:rFonts w:ascii="Times New Roman" w:hAnsi="Times New Roman" w:eastAsia="仿宋_GB2312"/>
          <w:color w:val="000000" w:themeColor="text1"/>
          <w:sz w:val="32"/>
          <w14:textFill>
            <w14:solidFill>
              <w14:schemeClr w14:val="tx1"/>
            </w14:solidFill>
          </w14:textFill>
        </w:rPr>
        <w:t>50</w:t>
      </w:r>
      <w:r>
        <w:rPr>
          <w:rFonts w:hint="eastAsia" w:ascii="Times New Roman" w:hAnsi="Times New Roman" w:eastAsia="仿宋_GB2312"/>
          <w:color w:val="000000" w:themeColor="text1"/>
          <w:sz w:val="32"/>
          <w14:textFill>
            <w14:solidFill>
              <w14:schemeClr w14:val="tx1"/>
            </w14:solidFill>
          </w14:textFill>
        </w:rPr>
        <w:t>万</w:t>
      </w:r>
      <w:r>
        <w:rPr>
          <w:rFonts w:hint="eastAsia" w:eastAsia="仿宋_GB2312"/>
          <w:color w:val="000000" w:themeColor="text1"/>
          <w:sz w:val="32"/>
          <w:lang w:eastAsia="zh-CN"/>
          <w14:textFill>
            <w14:solidFill>
              <w14:schemeClr w14:val="tx1"/>
            </w14:solidFill>
          </w14:textFill>
        </w:rPr>
        <w:t>元</w:t>
      </w:r>
      <w:r>
        <w:rPr>
          <w:rFonts w:hint="eastAsia" w:ascii="Times New Roman" w:hAnsi="Times New Roman" w:eastAsia="仿宋_GB2312"/>
          <w:color w:val="000000" w:themeColor="text1"/>
          <w:sz w:val="32"/>
          <w:szCs w:val="32"/>
          <w14:textFill>
            <w14:solidFill>
              <w14:schemeClr w14:val="tx1"/>
            </w14:solidFill>
          </w14:textFill>
        </w:rPr>
        <w:t>。融资额是指企业通过发行股票等方式融入的资金扣除保荐、承销、发行等费用后的融资净额，境外融资按照全部资金到账时的汇率折算成等值人民币。</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仿宋_GB2312"/>
          <w:color w:val="000000" w:themeColor="text1"/>
          <w:sz w:val="32"/>
          <w:szCs w:val="32"/>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w:t>
      </w:r>
      <w:r>
        <w:rPr>
          <w:rFonts w:ascii="Times New Roman" w:hAnsi="Times New Roman" w:eastAsia="仿宋_GB2312"/>
          <w:color w:val="000000" w:themeColor="text1"/>
          <w:sz w:val="32"/>
          <w14:textFill>
            <w14:solidFill>
              <w14:schemeClr w14:val="tx1"/>
            </w14:solidFill>
          </w14:textFill>
        </w:rPr>
        <w:t>对</w:t>
      </w:r>
      <w:r>
        <w:rPr>
          <w:rFonts w:hint="eastAsia" w:eastAsia="仿宋_GB2312"/>
          <w:color w:val="000000" w:themeColor="text1"/>
          <w:sz w:val="32"/>
          <w:lang w:eastAsia="zh-CN"/>
          <w14:textFill>
            <w14:solidFill>
              <w14:schemeClr w14:val="tx1"/>
            </w14:solidFill>
          </w14:textFill>
        </w:rPr>
        <w:t>高</w:t>
      </w:r>
      <w:r>
        <w:rPr>
          <w:rFonts w:hint="eastAsia" w:ascii="Times New Roman" w:hAnsi="Times New Roman" w:eastAsia="仿宋_GB2312"/>
          <w:color w:val="000000" w:themeColor="text1"/>
          <w:sz w:val="32"/>
          <w14:textFill>
            <w14:solidFill>
              <w14:schemeClr w14:val="tx1"/>
            </w14:solidFill>
          </w14:textFill>
        </w:rPr>
        <w:t>区</w:t>
      </w:r>
      <w:r>
        <w:rPr>
          <w:rFonts w:ascii="Times New Roman" w:hAnsi="Times New Roman" w:eastAsia="仿宋_GB2312"/>
          <w:color w:val="000000" w:themeColor="text1"/>
          <w:sz w:val="32"/>
          <w14:textFill>
            <w14:solidFill>
              <w14:schemeClr w14:val="tx1"/>
            </w14:solidFill>
          </w14:textFill>
        </w:rPr>
        <w:t>发行公司债券、企业债券、银行间债务融资工具等的非国有企业，按</w:t>
      </w:r>
      <w:r>
        <w:rPr>
          <w:rFonts w:hint="eastAsia" w:ascii="Times New Roman" w:hAnsi="Times New Roman" w:eastAsia="仿宋_GB2312"/>
          <w:color w:val="000000" w:themeColor="text1"/>
          <w:sz w:val="32"/>
          <w14:textFill>
            <w14:solidFill>
              <w14:schemeClr w14:val="tx1"/>
            </w14:solidFill>
          </w14:textFill>
        </w:rPr>
        <w:t>不超过</w:t>
      </w:r>
      <w:r>
        <w:rPr>
          <w:rFonts w:ascii="Times New Roman" w:hAnsi="Times New Roman" w:eastAsia="仿宋_GB2312"/>
          <w:color w:val="000000" w:themeColor="text1"/>
          <w:sz w:val="32"/>
          <w14:textFill>
            <w14:solidFill>
              <w14:schemeClr w14:val="tx1"/>
            </w14:solidFill>
          </w14:textFill>
        </w:rPr>
        <w:t>实际融资额的</w:t>
      </w:r>
      <w:r>
        <w:rPr>
          <w:rFonts w:hint="eastAsia" w:ascii="Times New Roman" w:hAnsi="Times New Roman" w:eastAsia="仿宋_GB2312"/>
          <w:color w:val="000000" w:themeColor="text1"/>
          <w:sz w:val="32"/>
          <w14:textFill>
            <w14:solidFill>
              <w14:schemeClr w14:val="tx1"/>
            </w14:solidFill>
          </w14:textFill>
        </w:rPr>
        <w:t>1</w:t>
      </w:r>
      <w:r>
        <w:rPr>
          <w:rFonts w:ascii="Times New Roman" w:hAnsi="Times New Roman" w:eastAsia="仿宋_GB2312"/>
          <w:color w:val="000000" w:themeColor="text1"/>
          <w:sz w:val="32"/>
          <w14:textFill>
            <w14:solidFill>
              <w14:schemeClr w14:val="tx1"/>
            </w14:solidFill>
          </w14:textFill>
        </w:rPr>
        <w:t>‰给予补助，每家企业每年补助额最高不超过</w:t>
      </w:r>
      <w:r>
        <w:rPr>
          <w:rFonts w:hint="eastAsia" w:ascii="Times New Roman" w:hAnsi="Times New Roman" w:eastAsia="仿宋_GB2312"/>
          <w:color w:val="000000" w:themeColor="text1"/>
          <w:sz w:val="32"/>
          <w14:textFill>
            <w14:solidFill>
              <w14:schemeClr w14:val="tx1"/>
            </w14:solidFill>
          </w14:textFill>
        </w:rPr>
        <w:t>25</w:t>
      </w:r>
      <w:r>
        <w:rPr>
          <w:rFonts w:ascii="Times New Roman" w:hAnsi="Times New Roman" w:eastAsia="仿宋_GB2312"/>
          <w:color w:val="000000" w:themeColor="text1"/>
          <w:sz w:val="32"/>
          <w14:textFill>
            <w14:solidFill>
              <w14:schemeClr w14:val="tx1"/>
            </w14:solidFill>
          </w14:textFill>
        </w:rPr>
        <w:t>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楷体_GB2312" w:cs="楷体_GB2312"/>
          <w:color w:val="000000" w:themeColor="text1"/>
          <w:sz w:val="32"/>
          <w:szCs w:val="32"/>
          <w14:textFill>
            <w14:solidFill>
              <w14:schemeClr w14:val="tx1"/>
            </w14:solidFill>
          </w14:textFill>
        </w:rPr>
      </w:pPr>
      <w:r>
        <w:rPr>
          <w:rFonts w:hint="eastAsia" w:ascii="Times New Roman" w:hAnsi="Times New Roman" w:eastAsia="楷体_GB2312" w:cs="楷体_GB2312"/>
          <w:color w:val="000000" w:themeColor="text1"/>
          <w:sz w:val="32"/>
          <w:szCs w:val="32"/>
          <w14:textFill>
            <w14:solidFill>
              <w14:schemeClr w14:val="tx1"/>
            </w14:solidFill>
          </w14:textFill>
        </w:rPr>
        <w:t>（四）鼓励股权投资业发展</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对在</w:t>
      </w:r>
      <w:r>
        <w:rPr>
          <w:rFonts w:hint="eastAsia" w:eastAsia="仿宋_GB2312" w:cs="仿宋_GB2312"/>
          <w:color w:val="000000" w:themeColor="text1"/>
          <w:sz w:val="32"/>
          <w:lang w:eastAsia="zh-CN"/>
          <w14:textFill>
            <w14:solidFill>
              <w14:schemeClr w14:val="tx1"/>
            </w14:solidFill>
          </w14:textFill>
        </w:rPr>
        <w:t>高</w:t>
      </w:r>
      <w:r>
        <w:rPr>
          <w:rFonts w:hint="eastAsia" w:ascii="Times New Roman" w:hAnsi="Times New Roman" w:eastAsia="仿宋_GB2312" w:cs="仿宋_GB2312"/>
          <w:color w:val="000000" w:themeColor="text1"/>
          <w:sz w:val="32"/>
          <w14:textFill>
            <w14:solidFill>
              <w14:schemeClr w14:val="tx1"/>
            </w14:solidFill>
          </w14:textFill>
        </w:rPr>
        <w:t>区依法登记注册新设的私募基金、私募基金管理、创业投资等机构，在履行中国证券投资基金业协会登记备案手续后进行补助：</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1</w:t>
      </w:r>
      <w:r>
        <w:rPr>
          <w:rFonts w:hint="eastAsia" w:ascii="仿宋_GB2312" w:hAnsi="仿宋_GB2312" w:eastAsia="仿宋_GB2312" w:cs="仿宋_GB2312"/>
          <w:color w:val="000000" w:themeColor="text1"/>
          <w:sz w:val="32"/>
          <w14:textFill>
            <w14:solidFill>
              <w14:schemeClr w14:val="tx1"/>
            </w14:solidFill>
          </w14:textFill>
        </w:rPr>
        <w:t>.</w:t>
      </w:r>
      <w:r>
        <w:rPr>
          <w:rFonts w:hint="eastAsia" w:ascii="Times New Roman" w:hAnsi="Times New Roman" w:eastAsia="仿宋_GB2312" w:cs="仿宋_GB2312"/>
          <w:color w:val="000000" w:themeColor="text1"/>
          <w:sz w:val="32"/>
          <w14:textFill>
            <w14:solidFill>
              <w14:schemeClr w14:val="tx1"/>
            </w14:solidFill>
          </w14:textFill>
        </w:rPr>
        <w:t>对公司制基金，实缴资本达到人民币3亿元（含）至5亿元的，按不超过实缴资本的0.4%给予补助；5亿元（含）至10亿元的，按不超过实缴资本的0.6%给予补助；10亿元（含）以上的，按不超过实缴资本的0.75%给予补助，补助额度最高1000万元。</w:t>
      </w:r>
    </w:p>
    <w:p>
      <w:pPr>
        <w:keepNext w:val="0"/>
        <w:keepLines w:val="0"/>
        <w:pageBreakBefore w:val="0"/>
        <w:kinsoku/>
        <w:wordWrap/>
        <w:overflowPunct/>
        <w:topLinePunct w:val="0"/>
        <w:autoSpaceDE/>
        <w:autoSpaceDN/>
        <w:bidi w:val="0"/>
        <w:adjustRightInd/>
        <w:snapToGrid/>
        <w:spacing w:line="578" w:lineRule="exact"/>
        <w:ind w:firstLine="640"/>
        <w:textAlignment w:val="auto"/>
        <w:rPr>
          <w:rFonts w:ascii="Times New Roman" w:hAnsi="Times New Roman" w:eastAsia="仿宋_GB2312" w:cs="仿宋_GB2312"/>
          <w:strike/>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对合伙制基金，实缴资本达到人民币5亿元（含）至10亿元的，按不超过实缴资本的0.25%给予补助；10亿元（含）以上的，按不超过实缴资本的0.4%给予补助，补助额度最高1000万元。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2</w:t>
      </w:r>
      <w:r>
        <w:rPr>
          <w:rFonts w:hint="eastAsia" w:ascii="仿宋_GB2312" w:hAnsi="仿宋_GB2312" w:eastAsia="仿宋_GB2312" w:cs="仿宋_GB2312"/>
          <w:color w:val="000000" w:themeColor="text1"/>
          <w:sz w:val="32"/>
          <w14:textFill>
            <w14:solidFill>
              <w14:schemeClr w14:val="tx1"/>
            </w14:solidFill>
          </w14:textFill>
        </w:rPr>
        <w:t>.</w:t>
      </w:r>
      <w:r>
        <w:rPr>
          <w:rFonts w:hint="eastAsia" w:ascii="Times New Roman" w:hAnsi="Times New Roman" w:eastAsia="仿宋_GB2312" w:cs="仿宋_GB2312"/>
          <w:color w:val="000000" w:themeColor="text1"/>
          <w:sz w:val="32"/>
          <w14:textFill>
            <w14:solidFill>
              <w14:schemeClr w14:val="tx1"/>
            </w14:solidFill>
          </w14:textFill>
        </w:rPr>
        <w:t>基金管理机构所管理的基金投资</w:t>
      </w:r>
      <w:r>
        <w:rPr>
          <w:rFonts w:hint="eastAsia" w:eastAsia="仿宋_GB2312" w:cs="仿宋_GB2312"/>
          <w:color w:val="000000" w:themeColor="text1"/>
          <w:sz w:val="32"/>
          <w:lang w:eastAsia="zh-CN"/>
          <w14:textFill>
            <w14:solidFill>
              <w14:schemeClr w14:val="tx1"/>
            </w14:solidFill>
          </w14:textFill>
        </w:rPr>
        <w:t>高</w:t>
      </w:r>
      <w:r>
        <w:rPr>
          <w:rFonts w:hint="eastAsia" w:ascii="Times New Roman" w:hAnsi="Times New Roman" w:eastAsia="仿宋_GB2312" w:cs="仿宋_GB2312"/>
          <w:color w:val="000000" w:themeColor="text1"/>
          <w:sz w:val="32"/>
          <w14:textFill>
            <w14:solidFill>
              <w14:schemeClr w14:val="tx1"/>
            </w14:solidFill>
          </w14:textFill>
        </w:rPr>
        <w:t>区非上市企业期限满2年、投资金额5000万元（含）以上的，按不超过投资金额的0.5%给予补助，补助额度最高250万元。补助资金由基金管理机构与其管理的基金各按50%的比例分配。</w:t>
      </w:r>
    </w:p>
    <w:p>
      <w:pPr>
        <w:keepNext w:val="0"/>
        <w:keepLines w:val="0"/>
        <w:pageBreakBefore w:val="0"/>
        <w:kinsoku/>
        <w:wordWrap/>
        <w:overflowPunct/>
        <w:topLinePunct w:val="0"/>
        <w:autoSpaceDE/>
        <w:autoSpaceDN/>
        <w:bidi w:val="0"/>
        <w:adjustRightInd/>
        <w:snapToGrid/>
        <w:spacing w:line="578" w:lineRule="exact"/>
        <w:ind w:firstLine="64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3</w:t>
      </w:r>
      <w:r>
        <w:rPr>
          <w:rFonts w:hint="eastAsia" w:ascii="仿宋_GB2312" w:hAnsi="仿宋_GB2312" w:eastAsia="仿宋_GB2312" w:cs="仿宋_GB2312"/>
          <w:color w:val="000000" w:themeColor="text1"/>
          <w:sz w:val="32"/>
          <w14:textFill>
            <w14:solidFill>
              <w14:schemeClr w14:val="tx1"/>
            </w14:solidFill>
          </w14:textFill>
        </w:rPr>
        <w:t>.</w:t>
      </w:r>
      <w:r>
        <w:rPr>
          <w:rFonts w:hint="eastAsia" w:ascii="Times New Roman" w:hAnsi="Times New Roman" w:eastAsia="仿宋_GB2312" w:cs="仿宋_GB2312"/>
          <w:color w:val="000000" w:themeColor="text1"/>
          <w:sz w:val="32"/>
          <w14:textFill>
            <w14:solidFill>
              <w14:schemeClr w14:val="tx1"/>
            </w14:solidFill>
          </w14:textFill>
        </w:rPr>
        <w:t>基金所持有上市公司限售股在</w:t>
      </w:r>
      <w:r>
        <w:rPr>
          <w:rFonts w:hint="eastAsia" w:eastAsia="仿宋_GB2312" w:cs="仿宋_GB2312"/>
          <w:color w:val="000000" w:themeColor="text1"/>
          <w:sz w:val="32"/>
          <w:lang w:eastAsia="zh-CN"/>
          <w14:textFill>
            <w14:solidFill>
              <w14:schemeClr w14:val="tx1"/>
            </w14:solidFill>
          </w14:textFill>
        </w:rPr>
        <w:t>高</w:t>
      </w:r>
      <w:r>
        <w:rPr>
          <w:rFonts w:hint="eastAsia" w:ascii="Times New Roman" w:hAnsi="Times New Roman" w:eastAsia="仿宋_GB2312" w:cs="仿宋_GB2312"/>
          <w:color w:val="000000" w:themeColor="text1"/>
          <w:sz w:val="32"/>
          <w14:textFill>
            <w14:solidFill>
              <w14:schemeClr w14:val="tx1"/>
            </w14:solidFill>
          </w14:textFill>
        </w:rPr>
        <w:t>区证券营业机构托管并通过证券交易卖出、协议转让及法律法规允许的其他方式减持的，按不超过减持限售股形成地方经济贡献的45%给予补助。</w:t>
      </w:r>
    </w:p>
    <w:p>
      <w:pPr>
        <w:keepNext w:val="0"/>
        <w:keepLines w:val="0"/>
        <w:pageBreakBefore w:val="0"/>
        <w:kinsoku/>
        <w:wordWrap/>
        <w:overflowPunct/>
        <w:topLinePunct w:val="0"/>
        <w:autoSpaceDE/>
        <w:autoSpaceDN/>
        <w:bidi w:val="0"/>
        <w:adjustRightInd/>
        <w:snapToGrid/>
        <w:spacing w:line="578" w:lineRule="exact"/>
        <w:ind w:firstLine="64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4</w:t>
      </w:r>
      <w:r>
        <w:rPr>
          <w:rFonts w:hint="default" w:ascii="Times New Roman" w:hAnsi="Times New Roman" w:eastAsia="仿宋_GB2312" w:cs="Times New Roman"/>
          <w:color w:val="000000" w:themeColor="text1"/>
          <w:sz w:val="32"/>
          <w14:textFill>
            <w14:solidFill>
              <w14:schemeClr w14:val="tx1"/>
            </w14:solidFill>
          </w14:textFill>
        </w:rPr>
        <w:t>.</w:t>
      </w:r>
      <w:r>
        <w:rPr>
          <w:rFonts w:hint="eastAsia" w:ascii="Times New Roman" w:hAnsi="Times New Roman" w:eastAsia="仿宋_GB2312" w:cs="仿宋_GB2312"/>
          <w:color w:val="000000" w:themeColor="text1"/>
          <w:sz w:val="32"/>
          <w14:textFill>
            <w14:solidFill>
              <w14:schemeClr w14:val="tx1"/>
            </w14:solidFill>
          </w14:textFill>
        </w:rPr>
        <w:t>自基金对外投资通过并购、IPO、股权回购等方式退出的当年起，按照其投资收益形成的地方经济贡献，给予前三年不超过35%、后两年不超过25%的补助。</w:t>
      </w:r>
    </w:p>
    <w:p>
      <w:pPr>
        <w:keepNext w:val="0"/>
        <w:keepLines w:val="0"/>
        <w:pageBreakBefore w:val="0"/>
        <w:kinsoku/>
        <w:wordWrap/>
        <w:overflowPunct/>
        <w:topLinePunct w:val="0"/>
        <w:autoSpaceDE/>
        <w:autoSpaceDN/>
        <w:bidi w:val="0"/>
        <w:adjustRightInd/>
        <w:snapToGrid/>
        <w:spacing w:line="578" w:lineRule="exact"/>
        <w:ind w:firstLine="640"/>
        <w:textAlignment w:val="auto"/>
        <w:rPr>
          <w:rFonts w:ascii="Times New Roman" w:hAnsi="Times New Roman" w:eastAsia="仿宋_GB2312" w:cs="仿宋_GB2312"/>
          <w:color w:val="000000" w:themeColor="text1"/>
          <w:sz w:val="32"/>
          <w14:textFill>
            <w14:solidFill>
              <w14:schemeClr w14:val="tx1"/>
            </w14:solidFill>
          </w14:textFill>
        </w:rPr>
      </w:pPr>
      <w:r>
        <w:rPr>
          <w:rFonts w:hint="eastAsia" w:ascii="Times New Roman" w:hAnsi="Times New Roman" w:eastAsia="仿宋_GB2312" w:cs="仿宋_GB2312"/>
          <w:color w:val="000000" w:themeColor="text1"/>
          <w:sz w:val="32"/>
          <w14:textFill>
            <w14:solidFill>
              <w14:schemeClr w14:val="tx1"/>
            </w14:solidFill>
          </w14:textFill>
        </w:rPr>
        <w:t>5.享受补助政策的基金管理机构和基金应承诺自享受政策之日起5年内不迁离</w:t>
      </w:r>
      <w:r>
        <w:rPr>
          <w:rFonts w:hint="eastAsia" w:eastAsia="仿宋_GB2312" w:cs="仿宋_GB2312"/>
          <w:color w:val="000000" w:themeColor="text1"/>
          <w:sz w:val="32"/>
          <w:lang w:eastAsia="zh-CN"/>
          <w14:textFill>
            <w14:solidFill>
              <w14:schemeClr w14:val="tx1"/>
            </w14:solidFill>
          </w14:textFill>
        </w:rPr>
        <w:t>高</w:t>
      </w:r>
      <w:r>
        <w:rPr>
          <w:rFonts w:hint="eastAsia" w:ascii="Times New Roman" w:hAnsi="Times New Roman" w:eastAsia="仿宋_GB2312" w:cs="仿宋_GB2312"/>
          <w:color w:val="000000" w:themeColor="text1"/>
          <w:sz w:val="32"/>
          <w14:textFill>
            <w14:solidFill>
              <w14:schemeClr w14:val="tx1"/>
            </w14:solidFill>
          </w14:textFill>
        </w:rPr>
        <w:t>区，期间确需迁离的，应及时退回所享受的补助资金。政府或国有企业出资部分及其规定的返投部分不纳入基金管理机构、基金补助范围。</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上</w:t>
      </w:r>
      <w:r>
        <w:rPr>
          <w:rFonts w:ascii="仿宋_GB2312" w:hAnsi="宋体" w:eastAsia="仿宋_GB2312" w:cs="宋体"/>
          <w:color w:val="000000"/>
          <w:kern w:val="0"/>
          <w:sz w:val="32"/>
          <w:szCs w:val="32"/>
        </w:rPr>
        <w:t>述补助资金</w:t>
      </w:r>
      <w:r>
        <w:rPr>
          <w:rFonts w:hint="eastAsia" w:ascii="仿宋_GB2312" w:hAnsi="宋体" w:eastAsia="仿宋_GB2312" w:cs="宋体"/>
          <w:color w:val="000000"/>
          <w:kern w:val="0"/>
          <w:sz w:val="32"/>
          <w:szCs w:val="32"/>
        </w:rPr>
        <w:t>申请程序为：符合条件的企业向区财</w:t>
      </w:r>
      <w:r>
        <w:rPr>
          <w:rFonts w:ascii="仿宋_GB2312" w:hAnsi="宋体" w:eastAsia="仿宋_GB2312" w:cs="宋体"/>
          <w:color w:val="000000"/>
          <w:kern w:val="0"/>
          <w:sz w:val="32"/>
          <w:szCs w:val="32"/>
        </w:rPr>
        <w:t>政金融局</w:t>
      </w:r>
      <w:r>
        <w:rPr>
          <w:rFonts w:hint="eastAsia" w:ascii="仿宋_GB2312" w:hAnsi="宋体" w:eastAsia="仿宋_GB2312" w:cs="宋体"/>
          <w:color w:val="000000"/>
          <w:kern w:val="0"/>
          <w:sz w:val="32"/>
          <w:szCs w:val="32"/>
        </w:rPr>
        <w:t>提出书面申请，并提交相关证明材料，</w:t>
      </w:r>
      <w:r>
        <w:rPr>
          <w:rFonts w:ascii="仿宋_GB2312" w:hAnsi="宋体" w:eastAsia="仿宋_GB2312" w:cs="宋体"/>
          <w:color w:val="000000"/>
          <w:kern w:val="0"/>
          <w:sz w:val="32"/>
          <w:szCs w:val="32"/>
        </w:rPr>
        <w:t>由</w:t>
      </w:r>
      <w:r>
        <w:rPr>
          <w:rFonts w:hint="eastAsia" w:ascii="仿宋_GB2312" w:hAnsi="宋体" w:eastAsia="仿宋_GB2312" w:cs="宋体"/>
          <w:color w:val="000000"/>
          <w:kern w:val="0"/>
          <w:sz w:val="32"/>
          <w:szCs w:val="32"/>
          <w:lang w:eastAsia="zh-CN"/>
        </w:rPr>
        <w:t>区</w:t>
      </w:r>
      <w:r>
        <w:rPr>
          <w:rFonts w:ascii="仿宋_GB2312" w:hAnsi="宋体" w:eastAsia="仿宋_GB2312" w:cs="宋体"/>
          <w:color w:val="000000"/>
          <w:kern w:val="0"/>
          <w:sz w:val="32"/>
          <w:szCs w:val="32"/>
        </w:rPr>
        <w:t>财政金融局</w:t>
      </w:r>
      <w:r>
        <w:rPr>
          <w:rFonts w:hint="eastAsia" w:ascii="仿宋_GB2312" w:hAnsi="宋体" w:eastAsia="仿宋_GB2312" w:cs="宋体"/>
          <w:color w:val="000000"/>
          <w:kern w:val="0"/>
          <w:sz w:val="32"/>
          <w:szCs w:val="32"/>
        </w:rPr>
        <w:t>对申请材料进行审核后，报</w:t>
      </w:r>
      <w:r>
        <w:rPr>
          <w:rFonts w:hint="eastAsia" w:ascii="仿宋_GB2312" w:hAnsi="宋体" w:eastAsia="仿宋_GB2312" w:cs="宋体"/>
          <w:color w:val="000000"/>
          <w:kern w:val="0"/>
          <w:sz w:val="32"/>
          <w:szCs w:val="32"/>
          <w:lang w:eastAsia="zh-CN"/>
        </w:rPr>
        <w:t>区</w:t>
      </w:r>
      <w:r>
        <w:rPr>
          <w:rFonts w:hint="eastAsia" w:ascii="仿宋_GB2312" w:hAnsi="宋体" w:eastAsia="仿宋_GB2312" w:cs="宋体"/>
          <w:color w:val="000000"/>
          <w:kern w:val="0"/>
          <w:sz w:val="32"/>
          <w:szCs w:val="32"/>
        </w:rPr>
        <w:t>管</w:t>
      </w:r>
      <w:r>
        <w:rPr>
          <w:rFonts w:ascii="仿宋_GB2312" w:hAnsi="宋体" w:eastAsia="仿宋_GB2312" w:cs="宋体"/>
          <w:color w:val="000000"/>
          <w:kern w:val="0"/>
          <w:sz w:val="32"/>
          <w:szCs w:val="32"/>
        </w:rPr>
        <w:t>委批准</w:t>
      </w:r>
      <w:r>
        <w:rPr>
          <w:rFonts w:hint="eastAsia" w:ascii="仿宋_GB2312" w:hAnsi="宋体" w:eastAsia="仿宋_GB2312" w:cs="宋体"/>
          <w:color w:val="000000"/>
          <w:kern w:val="0"/>
          <w:sz w:val="32"/>
          <w:szCs w:val="32"/>
        </w:rPr>
        <w:t>。</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lang w:eastAsia="zh-CN"/>
        </w:rPr>
        <w:t>自</w:t>
      </w:r>
      <w:r>
        <w:rPr>
          <w:rFonts w:hint="default" w:ascii="Times New Roman" w:hAnsi="Times New Roman" w:eastAsia="仿宋_GB2312" w:cs="Times New Roman"/>
          <w:color w:val="000000"/>
          <w:kern w:val="0"/>
          <w:sz w:val="32"/>
          <w:szCs w:val="32"/>
          <w:lang w:val="en-US" w:eastAsia="zh-CN"/>
        </w:rPr>
        <w:t>2021</w:t>
      </w:r>
      <w:r>
        <w:rPr>
          <w:rFonts w:hint="eastAsia" w:ascii="仿宋_GB2312" w:hAnsi="宋体" w:eastAsia="仿宋_GB2312" w:cs="宋体"/>
          <w:color w:val="000000"/>
          <w:kern w:val="0"/>
          <w:sz w:val="32"/>
          <w:szCs w:val="32"/>
          <w:lang w:val="en-US" w:eastAsia="zh-CN"/>
        </w:rPr>
        <w:t>年</w:t>
      </w:r>
      <w:r>
        <w:rPr>
          <w:rFonts w:hint="default" w:ascii="Times New Roman" w:hAnsi="Times New Roman" w:eastAsia="仿宋_GB2312" w:cs="Times New Roman"/>
          <w:color w:val="000000"/>
          <w:kern w:val="0"/>
          <w:sz w:val="32"/>
          <w:szCs w:val="32"/>
          <w:lang w:val="en-US" w:eastAsia="zh-CN"/>
        </w:rPr>
        <w:t>5</w:t>
      </w:r>
      <w:r>
        <w:rPr>
          <w:rFonts w:hint="eastAsia" w:ascii="仿宋_GB2312" w:hAnsi="宋体" w:eastAsia="仿宋_GB2312" w:cs="宋体"/>
          <w:color w:val="000000"/>
          <w:kern w:val="0"/>
          <w:sz w:val="32"/>
          <w:szCs w:val="32"/>
          <w:lang w:val="en-US" w:eastAsia="zh-CN"/>
        </w:rPr>
        <w:t>月</w:t>
      </w:r>
      <w:r>
        <w:rPr>
          <w:rFonts w:hint="default" w:ascii="Times New Roman" w:hAnsi="Times New Roman" w:eastAsia="仿宋_GB2312" w:cs="Times New Roman"/>
          <w:color w:val="000000"/>
          <w:kern w:val="0"/>
          <w:sz w:val="32"/>
          <w:szCs w:val="32"/>
          <w:lang w:val="en-US" w:eastAsia="zh-CN"/>
        </w:rPr>
        <w:t>1</w:t>
      </w:r>
      <w:r>
        <w:rPr>
          <w:rFonts w:hint="eastAsia" w:ascii="仿宋_GB2312" w:hAnsi="宋体" w:eastAsia="仿宋_GB2312" w:cs="宋体"/>
          <w:color w:val="000000"/>
          <w:kern w:val="0"/>
          <w:sz w:val="32"/>
          <w:szCs w:val="32"/>
          <w:lang w:val="en-US" w:eastAsia="zh-CN"/>
        </w:rPr>
        <w:t>日起</w:t>
      </w:r>
      <w:r>
        <w:rPr>
          <w:rFonts w:hint="eastAsia" w:ascii="仿宋_GB2312" w:hAnsi="宋体" w:eastAsia="仿宋_GB2312" w:cs="宋体"/>
          <w:color w:val="000000"/>
          <w:kern w:val="0"/>
          <w:sz w:val="32"/>
          <w:szCs w:val="32"/>
        </w:rPr>
        <w:t>，企业已启动上市挂牌程序的，区级补助部分按照本</w:t>
      </w:r>
      <w:r>
        <w:rPr>
          <w:rFonts w:hint="eastAsia" w:ascii="仿宋_GB2312" w:hAnsi="宋体" w:eastAsia="仿宋_GB2312" w:cs="宋体"/>
          <w:color w:val="000000"/>
          <w:kern w:val="0"/>
          <w:sz w:val="32"/>
          <w:szCs w:val="32"/>
          <w:lang w:eastAsia="zh-CN"/>
        </w:rPr>
        <w:t>意见</w:t>
      </w:r>
      <w:r>
        <w:rPr>
          <w:rFonts w:hint="eastAsia" w:ascii="仿宋_GB2312" w:hAnsi="宋体" w:eastAsia="仿宋_GB2312" w:cs="宋体"/>
          <w:color w:val="000000"/>
          <w:kern w:val="0"/>
          <w:sz w:val="32"/>
          <w:szCs w:val="32"/>
        </w:rPr>
        <w:t>执行。</w:t>
      </w:r>
    </w:p>
    <w:p>
      <w:pPr>
        <w:keepNext w:val="0"/>
        <w:keepLines w:val="0"/>
        <w:pageBreakBefore w:val="0"/>
        <w:kinsoku/>
        <w:wordWrap/>
        <w:overflowPunct/>
        <w:topLinePunct w:val="0"/>
        <w:autoSpaceDE/>
        <w:autoSpaceDN/>
        <w:bidi w:val="0"/>
        <w:adjustRightInd/>
        <w:snapToGrid/>
        <w:spacing w:line="578" w:lineRule="exact"/>
        <w:ind w:left="160" w:leftChars="76" w:firstLine="483" w:firstLineChars="151"/>
        <w:textAlignment w:val="auto"/>
        <w:rPr>
          <w:rFonts w:ascii="Times New Roman" w:hAnsi="Times New Roman" w:eastAsia="黑体" w:cs="黑体"/>
          <w:color w:val="000000" w:themeColor="text1"/>
          <w:sz w:val="32"/>
          <w:szCs w:val="32"/>
          <w14:textFill>
            <w14:solidFill>
              <w14:schemeClr w14:val="tx1"/>
            </w14:solidFill>
          </w14:textFill>
        </w:rPr>
      </w:pPr>
      <w:r>
        <w:rPr>
          <w:rFonts w:hint="eastAsia" w:ascii="Times New Roman" w:hAnsi="Times New Roman" w:eastAsia="黑体" w:cs="黑体"/>
          <w:color w:val="000000" w:themeColor="text1"/>
          <w:sz w:val="32"/>
          <w:szCs w:val="32"/>
          <w14:textFill>
            <w14:solidFill>
              <w14:schemeClr w14:val="tx1"/>
            </w14:solidFill>
          </w14:textFill>
        </w:rPr>
        <w:t>三、强化保障措施</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楷体_GB2312" w:cs="楷体_GB2312"/>
          <w:color w:val="000000" w:themeColor="text1"/>
          <w:sz w:val="32"/>
          <w:szCs w:val="32"/>
          <w14:textFill>
            <w14:solidFill>
              <w14:schemeClr w14:val="tx1"/>
            </w14:solidFill>
          </w14:textFill>
        </w:rPr>
        <w:t>（一）加强组织领导。</w:t>
      </w:r>
      <w:r>
        <w:rPr>
          <w:rFonts w:ascii="Times New Roman" w:hAnsi="Times New Roman" w:eastAsia="仿宋_GB2312" w:cs="仿宋_GB2312"/>
          <w:color w:val="000000" w:themeColor="text1"/>
          <w:sz w:val="32"/>
          <w:szCs w:val="32"/>
          <w14:textFill>
            <w14:solidFill>
              <w14:schemeClr w14:val="tx1"/>
            </w14:solidFill>
          </w14:textFill>
        </w:rPr>
        <w:t>区金融稳定</w:t>
      </w:r>
      <w:r>
        <w:rPr>
          <w:rFonts w:hint="eastAsia" w:ascii="Times New Roman" w:hAnsi="Times New Roman" w:eastAsia="仿宋_GB2312" w:cs="仿宋_GB2312"/>
          <w:color w:val="000000" w:themeColor="text1"/>
          <w:sz w:val="32"/>
          <w:szCs w:val="32"/>
          <w14:textFill>
            <w14:solidFill>
              <w14:schemeClr w14:val="tx1"/>
            </w14:solidFill>
          </w14:textFill>
        </w:rPr>
        <w:t>发展</w:t>
      </w:r>
      <w:r>
        <w:rPr>
          <w:rFonts w:ascii="Times New Roman" w:hAnsi="Times New Roman" w:eastAsia="仿宋_GB2312" w:cs="仿宋_GB2312"/>
          <w:color w:val="000000" w:themeColor="text1"/>
          <w:sz w:val="32"/>
          <w:szCs w:val="32"/>
          <w14:textFill>
            <w14:solidFill>
              <w14:schemeClr w14:val="tx1"/>
            </w14:solidFill>
          </w14:textFill>
        </w:rPr>
        <w:t>领导小组</w:t>
      </w:r>
      <w:r>
        <w:rPr>
          <w:rFonts w:hint="eastAsia" w:ascii="Times New Roman" w:hAnsi="Times New Roman" w:eastAsia="仿宋_GB2312" w:cs="仿宋_GB2312"/>
          <w:color w:val="000000" w:themeColor="text1"/>
          <w:sz w:val="32"/>
          <w:szCs w:val="32"/>
          <w14:textFill>
            <w14:solidFill>
              <w14:schemeClr w14:val="tx1"/>
            </w14:solidFill>
          </w14:textFill>
        </w:rPr>
        <w:t>要结合本区域实际情况，研究制定企业上市、后备资源培育等方面的总体目标、工作计划等，明确具体措施，细化分解任务，确保工作成效。建立数据分析、事务协调解决等机制，切实加强企业上市挂牌的指导、协调、服务工作。各有关部门要立足职责，提高服务水平，形成工作合力，共同做好企业上市挂牌工作。</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r>
        <w:rPr>
          <w:rFonts w:hint="eastAsia" w:ascii="Times New Roman" w:hAnsi="Times New Roman" w:eastAsia="楷体_GB2312" w:cs="楷体_GB2312"/>
          <w:color w:val="000000" w:themeColor="text1"/>
          <w:sz w:val="32"/>
          <w:szCs w:val="32"/>
          <w14:textFill>
            <w14:solidFill>
              <w14:schemeClr w14:val="tx1"/>
            </w14:solidFill>
          </w14:textFill>
        </w:rPr>
        <w:t>（二）强化资金支持。</w:t>
      </w:r>
      <w:r>
        <w:rPr>
          <w:rFonts w:hint="eastAsia" w:ascii="Times New Roman" w:hAnsi="Times New Roman" w:eastAsia="仿宋_GB2312"/>
          <w:color w:val="000000" w:themeColor="text1"/>
          <w:sz w:val="32"/>
          <w:szCs w:val="32"/>
          <w14:textFill>
            <w14:solidFill>
              <w14:schemeClr w14:val="tx1"/>
            </w14:solidFill>
          </w14:textFill>
        </w:rPr>
        <w:t>设立资本市场发展专项资金，纳入同级财政预算管理，用于推进企业直接融资的各项补助以及发展多层次资本市场方面的辅导、培训、宣传和推介等。预算安排的产业发展、技术改造、技术开发等专项资金，以及政府性股权投资引导基金等，积极支持符合条件的拟上市、挂牌企业。</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楷体_GB2312" w:cs="楷体_GB2312"/>
          <w:color w:val="000000" w:themeColor="text1"/>
          <w:sz w:val="32"/>
          <w:szCs w:val="32"/>
          <w14:textFill>
            <w14:solidFill>
              <w14:schemeClr w14:val="tx1"/>
            </w14:solidFill>
          </w14:textFill>
        </w:rPr>
        <w:t>（三）完善企业资源库。</w:t>
      </w:r>
      <w:r>
        <w:rPr>
          <w:rFonts w:hint="eastAsia" w:ascii="Times New Roman" w:hAnsi="Times New Roman" w:eastAsia="仿宋_GB2312"/>
          <w:color w:val="000000" w:themeColor="text1"/>
          <w:sz w:val="32"/>
          <w:szCs w:val="32"/>
          <w14:textFill>
            <w14:solidFill>
              <w14:schemeClr w14:val="tx1"/>
            </w14:solidFill>
          </w14:textFill>
        </w:rPr>
        <w:t>加强多层次资本市场后备企业资源库建设，筛选一批有上市挂牌意向、主营业务突出、核心</w:t>
      </w:r>
      <w:r>
        <w:rPr>
          <w:rFonts w:hint="eastAsia" w:ascii="Times New Roman" w:hAnsi="Times New Roman" w:eastAsia="仿宋_GB2312"/>
          <w:sz w:val="32"/>
          <w:szCs w:val="32"/>
        </w:rPr>
        <w:t>竞争力强、具有良好发展前景和增长潜力的企业入库，实行动态管理，形成分层有序、梯次递进的工作格局。</w:t>
      </w:r>
    </w:p>
    <w:p>
      <w:pPr>
        <w:keepNext w:val="0"/>
        <w:keepLines w:val="0"/>
        <w:pageBreakBefore w:val="0"/>
        <w:kinsoku/>
        <w:wordWrap/>
        <w:overflowPunct/>
        <w:topLinePunct w:val="0"/>
        <w:autoSpaceDE/>
        <w:autoSpaceDN/>
        <w:bidi w:val="0"/>
        <w:adjustRightInd/>
        <w:snapToGrid/>
        <w:spacing w:line="578" w:lineRule="exact"/>
        <w:ind w:firstLine="480" w:firstLineChars="150"/>
        <w:textAlignment w:val="auto"/>
        <w:rPr>
          <w:rFonts w:ascii="仿宋_GB2312" w:eastAsia="仿宋_GB2312"/>
          <w:sz w:val="32"/>
          <w:szCs w:val="32"/>
        </w:rPr>
      </w:pPr>
      <w:r>
        <w:rPr>
          <w:rFonts w:hint="eastAsia" w:ascii="楷体_GB2312" w:eastAsia="楷体_GB2312"/>
          <w:sz w:val="32"/>
          <w:szCs w:val="32"/>
        </w:rPr>
        <w:t>（四）</w:t>
      </w:r>
      <w:r>
        <w:rPr>
          <w:rFonts w:hint="eastAsia" w:ascii="楷体_GB2312" w:eastAsia="楷体_GB2312"/>
          <w:sz w:val="32"/>
          <w:szCs w:val="32"/>
          <w:lang w:eastAsia="zh-CN"/>
        </w:rPr>
        <w:t>增强</w:t>
      </w:r>
      <w:r>
        <w:rPr>
          <w:rFonts w:hint="eastAsia" w:ascii="楷体_GB2312" w:eastAsia="楷体_GB2312"/>
          <w:sz w:val="32"/>
          <w:szCs w:val="32"/>
        </w:rPr>
        <w:t>责任意识。</w:t>
      </w:r>
      <w:r>
        <w:rPr>
          <w:rFonts w:hint="eastAsia" w:ascii="仿宋_GB2312" w:eastAsia="仿宋_GB2312"/>
          <w:sz w:val="32"/>
          <w:szCs w:val="32"/>
        </w:rPr>
        <w:t>享受</w:t>
      </w:r>
      <w:r>
        <w:rPr>
          <w:rFonts w:hint="eastAsia" w:ascii="仿宋_GB2312" w:eastAsia="仿宋_GB2312"/>
          <w:sz w:val="32"/>
          <w:szCs w:val="32"/>
          <w:lang w:eastAsia="zh-CN"/>
        </w:rPr>
        <w:t>区</w:t>
      </w:r>
      <w:r>
        <w:rPr>
          <w:rFonts w:hint="eastAsia" w:ascii="仿宋_GB2312" w:eastAsia="仿宋_GB2312"/>
          <w:sz w:val="32"/>
          <w:szCs w:val="32"/>
        </w:rPr>
        <w:t>管委扶持的企业，在引进中介、投资者、制定挂牌上市计划、股改、提报材料及其它挂牌上市相关节点要及时向</w:t>
      </w:r>
      <w:r>
        <w:rPr>
          <w:rFonts w:hint="eastAsia" w:ascii="仿宋_GB2312" w:eastAsia="仿宋_GB2312"/>
          <w:sz w:val="32"/>
          <w:szCs w:val="32"/>
          <w:lang w:eastAsia="zh-CN"/>
        </w:rPr>
        <w:t>区</w:t>
      </w:r>
      <w:r>
        <w:rPr>
          <w:rFonts w:hint="eastAsia" w:ascii="仿宋_GB2312" w:eastAsia="仿宋_GB2312"/>
          <w:sz w:val="32"/>
          <w:szCs w:val="32"/>
        </w:rPr>
        <w:t>财政金融局进行报告、沟通和备案。企业申请政策支持和补助资金应遵循诚信原则，如有弄虚作假骗取政策支持和补助资金的，将予以追缴并依法追究相关人员责任。</w:t>
      </w:r>
    </w:p>
    <w:p>
      <w:pPr>
        <w:keepNext w:val="0"/>
        <w:keepLines w:val="0"/>
        <w:pageBreakBefore w:val="0"/>
        <w:kinsoku/>
        <w:wordWrap/>
        <w:overflowPunct/>
        <w:topLinePunct w:val="0"/>
        <w:autoSpaceDE/>
        <w:autoSpaceDN/>
        <w:bidi w:val="0"/>
        <w:adjustRightInd/>
        <w:snapToGrid/>
        <w:spacing w:line="578" w:lineRule="exact"/>
        <w:ind w:firstLine="640" w:firstLineChars="200"/>
        <w:jc w:val="left"/>
        <w:textAlignment w:val="auto"/>
        <w:rPr>
          <w:rFonts w:hint="eastAsia" w:ascii="Times New Roman" w:hAnsi="Times New Roman" w:eastAsia="仿宋_GB2312"/>
          <w:sz w:val="32"/>
          <w:szCs w:val="32"/>
          <w:lang w:eastAsia="zh-CN"/>
        </w:rPr>
      </w:pPr>
      <w:r>
        <w:rPr>
          <w:rFonts w:hint="eastAsia" w:ascii="Times New Roman" w:hAnsi="Times New Roman" w:eastAsia="仿宋_GB2312"/>
          <w:sz w:val="32"/>
          <w:szCs w:val="32"/>
        </w:rPr>
        <w:t>本意见由威海火炬高技术产业开发区管理委员会负责解释，区财政金融局负责组织实施。本意见自2022年</w:t>
      </w:r>
      <w:r>
        <w:rPr>
          <w:rFonts w:hint="eastAsia" w:eastAsia="仿宋_GB2312"/>
          <w:sz w:val="32"/>
          <w:szCs w:val="32"/>
          <w:lang w:val="en-US" w:eastAsia="zh-CN"/>
        </w:rPr>
        <w:t>7</w:t>
      </w:r>
      <w:r>
        <w:rPr>
          <w:rFonts w:hint="eastAsia" w:ascii="Times New Roman" w:hAnsi="Times New Roman" w:eastAsia="仿宋_GB2312"/>
          <w:sz w:val="32"/>
          <w:szCs w:val="32"/>
        </w:rPr>
        <w:t>月</w:t>
      </w:r>
      <w:r>
        <w:rPr>
          <w:rFonts w:hint="default" w:eastAsia="仿宋_GB2312"/>
          <w:sz w:val="32"/>
          <w:szCs w:val="32"/>
          <w:lang w:val="en" w:eastAsia="zh-CN"/>
        </w:rPr>
        <w:t>1</w:t>
      </w:r>
      <w:r>
        <w:rPr>
          <w:rFonts w:hint="eastAsia" w:eastAsia="仿宋_GB2312"/>
          <w:sz w:val="32"/>
          <w:szCs w:val="32"/>
          <w:lang w:val="en-US" w:eastAsia="zh-CN"/>
        </w:rPr>
        <w:t>5</w:t>
      </w:r>
      <w:r>
        <w:rPr>
          <w:rFonts w:hint="eastAsia" w:ascii="Times New Roman" w:hAnsi="Times New Roman" w:eastAsia="仿宋_GB2312"/>
          <w:sz w:val="32"/>
          <w:szCs w:val="32"/>
        </w:rPr>
        <w:t>日起实施，有效期</w:t>
      </w:r>
      <w:r>
        <w:rPr>
          <w:rFonts w:hint="eastAsia" w:ascii="Times New Roman" w:hAnsi="Times New Roman" w:eastAsia="仿宋_GB2312"/>
          <w:sz w:val="32"/>
          <w:szCs w:val="32"/>
          <w:lang w:eastAsia="zh-CN"/>
        </w:rPr>
        <w:t>至</w:t>
      </w:r>
      <w:r>
        <w:rPr>
          <w:rFonts w:hint="eastAsia" w:ascii="Times New Roman" w:hAnsi="Times New Roman" w:eastAsia="仿宋_GB2312"/>
          <w:sz w:val="32"/>
          <w:szCs w:val="32"/>
        </w:rPr>
        <w:t>2027年</w:t>
      </w:r>
      <w:r>
        <w:rPr>
          <w:rFonts w:hint="default" w:eastAsia="仿宋_GB2312"/>
          <w:sz w:val="32"/>
          <w:szCs w:val="32"/>
          <w:lang w:val="en"/>
        </w:rPr>
        <w:t>7</w:t>
      </w:r>
      <w:r>
        <w:rPr>
          <w:rFonts w:hint="eastAsia" w:ascii="Times New Roman" w:hAnsi="Times New Roman" w:eastAsia="仿宋_GB2312"/>
          <w:sz w:val="32"/>
          <w:szCs w:val="32"/>
        </w:rPr>
        <w:t>月</w:t>
      </w:r>
      <w:r>
        <w:rPr>
          <w:rFonts w:hint="default" w:eastAsia="仿宋_GB2312"/>
          <w:sz w:val="32"/>
          <w:szCs w:val="32"/>
          <w:lang w:val="en" w:eastAsia="zh-CN"/>
        </w:rPr>
        <w:t>1</w:t>
      </w:r>
      <w:r>
        <w:rPr>
          <w:rFonts w:hint="eastAsia" w:eastAsia="仿宋_GB2312"/>
          <w:sz w:val="32"/>
          <w:szCs w:val="32"/>
          <w:lang w:val="en-US" w:eastAsia="zh-CN"/>
        </w:rPr>
        <w:t>4</w:t>
      </w:r>
      <w:r>
        <w:rPr>
          <w:rFonts w:hint="eastAsia" w:ascii="Times New Roman" w:hAnsi="Times New Roman" w:eastAsia="仿宋_GB2312"/>
          <w:sz w:val="32"/>
          <w:szCs w:val="32"/>
        </w:rPr>
        <w:t>日。</w:t>
      </w:r>
      <w:r>
        <w:rPr>
          <w:rFonts w:hint="eastAsia" w:ascii="Times New Roman" w:hAnsi="Times New Roman" w:eastAsia="仿宋_GB2312"/>
          <w:sz w:val="32"/>
          <w:szCs w:val="32"/>
          <w:lang w:eastAsia="zh-CN"/>
        </w:rPr>
        <w:t>区管委此前出台的鼓励企业资本市场直接融资相关规定</w:t>
      </w:r>
      <w:r>
        <w:rPr>
          <w:rFonts w:hint="eastAsia" w:ascii="Times New Roman" w:hAnsi="Times New Roman" w:eastAsia="仿宋_GB2312"/>
          <w:sz w:val="32"/>
          <w:szCs w:val="32"/>
        </w:rPr>
        <w:t>与本意见不一致的，以本意见为准</w:t>
      </w:r>
      <w:r>
        <w:rPr>
          <w:rFonts w:hint="eastAsia" w:ascii="Times New Roman" w:hAnsi="Times New Roman" w:eastAsia="仿宋_GB2312"/>
          <w:sz w:val="32"/>
          <w:szCs w:val="32"/>
          <w:lang w:eastAsia="zh-CN"/>
        </w:rPr>
        <w:t>。</w:t>
      </w:r>
    </w:p>
    <w:p>
      <w:pPr>
        <w:keepNext w:val="0"/>
        <w:keepLines w:val="0"/>
        <w:pageBreakBefore w:val="0"/>
        <w:kinsoku/>
        <w:wordWrap/>
        <w:overflowPunct/>
        <w:topLinePunct w:val="0"/>
        <w:autoSpaceDE/>
        <w:autoSpaceDN/>
        <w:bidi w:val="0"/>
        <w:adjustRightInd/>
        <w:snapToGrid/>
        <w:spacing w:line="578" w:lineRule="exact"/>
        <w:ind w:firstLine="3360" w:firstLineChars="1050"/>
        <w:jc w:val="left"/>
        <w:textAlignment w:val="auto"/>
        <w:rPr>
          <w:rFonts w:hint="eastAsia" w:ascii="Times New Roman" w:hAnsi="Times New Roman" w:eastAsia="仿宋_GB2312"/>
          <w:sz w:val="32"/>
          <w:szCs w:val="32"/>
        </w:rPr>
      </w:pPr>
    </w:p>
    <w:p>
      <w:pPr>
        <w:keepNext w:val="0"/>
        <w:keepLines w:val="0"/>
        <w:pageBreakBefore w:val="0"/>
        <w:kinsoku/>
        <w:wordWrap/>
        <w:overflowPunct/>
        <w:topLinePunct w:val="0"/>
        <w:autoSpaceDE/>
        <w:autoSpaceDN/>
        <w:bidi w:val="0"/>
        <w:adjustRightInd/>
        <w:snapToGrid/>
        <w:spacing w:line="578" w:lineRule="exact"/>
        <w:ind w:firstLine="3360" w:firstLineChars="1050"/>
        <w:jc w:val="left"/>
        <w:textAlignment w:val="auto"/>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rPr>
        <w:t>威</w:t>
      </w:r>
      <w:r>
        <w:rPr>
          <w:rFonts w:ascii="Times New Roman" w:hAnsi="Times New Roman" w:eastAsia="仿宋_GB2312"/>
          <w:sz w:val="32"/>
          <w:szCs w:val="32"/>
        </w:rPr>
        <w:t>海火炬高技术产业开发区</w:t>
      </w:r>
      <w:r>
        <w:rPr>
          <w:rFonts w:hint="eastAsia" w:ascii="Times New Roman" w:hAnsi="Times New Roman" w:eastAsia="仿宋_GB2312"/>
          <w:sz w:val="32"/>
          <w:szCs w:val="32"/>
          <w:lang w:eastAsia="zh-CN"/>
        </w:rPr>
        <w:t>管理委员会</w:t>
      </w:r>
    </w:p>
    <w:p>
      <w:pPr>
        <w:keepNext w:val="0"/>
        <w:keepLines w:val="0"/>
        <w:pageBreakBefore w:val="0"/>
        <w:kinsoku/>
        <w:wordWrap/>
        <w:overflowPunct/>
        <w:topLinePunct w:val="0"/>
        <w:autoSpaceDE/>
        <w:autoSpaceDN/>
        <w:bidi w:val="0"/>
        <w:adjustRightInd/>
        <w:snapToGrid/>
        <w:spacing w:line="578" w:lineRule="exact"/>
        <w:ind w:firstLine="4800" w:firstLineChars="1500"/>
        <w:jc w:val="left"/>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2022年</w:t>
      </w:r>
      <w:r>
        <w:rPr>
          <w:rFonts w:hint="eastAsia" w:eastAsia="仿宋_GB2312"/>
          <w:sz w:val="32"/>
          <w:szCs w:val="32"/>
          <w:lang w:val="en-US" w:eastAsia="zh-CN"/>
        </w:rPr>
        <w:t>7</w:t>
      </w:r>
      <w:r>
        <w:rPr>
          <w:rFonts w:hint="eastAsia" w:ascii="Times New Roman" w:hAnsi="Times New Roman" w:eastAsia="仿宋_GB2312"/>
          <w:sz w:val="32"/>
          <w:szCs w:val="32"/>
        </w:rPr>
        <w:t>月</w:t>
      </w:r>
      <w:r>
        <w:rPr>
          <w:rFonts w:hint="default" w:eastAsia="仿宋_GB2312"/>
          <w:sz w:val="32"/>
          <w:szCs w:val="32"/>
          <w:lang w:val="en" w:eastAsia="zh-CN"/>
        </w:rPr>
        <w:t>1</w:t>
      </w:r>
      <w:r>
        <w:rPr>
          <w:rFonts w:hint="eastAsia" w:eastAsia="仿宋_GB2312"/>
          <w:sz w:val="32"/>
          <w:szCs w:val="32"/>
          <w:lang w:val="en-US" w:eastAsia="zh-CN"/>
        </w:rPr>
        <w:t>5</w:t>
      </w:r>
      <w:r>
        <w:rPr>
          <w:rFonts w:hint="eastAsia" w:ascii="Times New Roman" w:hAnsi="Times New Roman" w:eastAsia="仿宋_GB2312"/>
          <w:sz w:val="32"/>
          <w:szCs w:val="32"/>
        </w:rPr>
        <w:t>日</w:t>
      </w:r>
    </w:p>
    <w:p>
      <w:pPr>
        <w:keepNext w:val="0"/>
        <w:keepLines w:val="0"/>
        <w:pageBreakBefore w:val="0"/>
        <w:kinsoku/>
        <w:wordWrap/>
        <w:overflowPunct/>
        <w:topLinePunct w:val="0"/>
        <w:autoSpaceDE/>
        <w:autoSpaceDN/>
        <w:bidi w:val="0"/>
        <w:adjustRightInd/>
        <w:snapToGrid/>
        <w:spacing w:line="578" w:lineRule="exact"/>
        <w:jc w:val="left"/>
        <w:textAlignment w:val="auto"/>
        <w:rPr>
          <w:rFonts w:hint="default" w:ascii="Times New Roman" w:hAnsi="Times New Roman" w:eastAsia="仿宋_GB2312"/>
          <w:sz w:val="32"/>
          <w:szCs w:val="32"/>
          <w:lang w:val="en-US" w:eastAsia="zh-CN"/>
        </w:rPr>
      </w:pPr>
      <w:r>
        <w:rPr>
          <w:rFonts w:hint="eastAsia" w:eastAsia="仿宋_GB2312"/>
          <w:sz w:val="32"/>
          <w:szCs w:val="32"/>
          <w:lang w:val="en-US" w:eastAsia="zh-CN"/>
        </w:rPr>
        <w:t xml:space="preserve">    （此件公开发布）</w:t>
      </w:r>
    </w:p>
    <w:p>
      <w:pPr>
        <w:keepNext w:val="0"/>
        <w:keepLines w:val="0"/>
        <w:pageBreakBefore w:val="0"/>
        <w:kinsoku/>
        <w:wordWrap/>
        <w:overflowPunct/>
        <w:topLinePunct w:val="0"/>
        <w:autoSpaceDE/>
        <w:autoSpaceDN/>
        <w:bidi w:val="0"/>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spacing w:line="578" w:lineRule="exact"/>
        <w:textAlignment w:val="auto"/>
        <w:rPr>
          <w:rFonts w:ascii="黑体" w:eastAsia="黑体"/>
          <w:sz w:val="32"/>
        </w:rPr>
      </w:pPr>
      <w:bookmarkStart w:id="0" w:name="_GoBack"/>
      <w:bookmarkEnd w:id="0"/>
    </w:p>
    <w:p>
      <w:pPr>
        <w:rPr>
          <w:sz w:val="28"/>
          <w:szCs w:val="28"/>
        </w:rPr>
      </w:pP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1MGZlODE4NWRkNTJkODBiMTMwMjUxODg4OGM5NzgifQ=="/>
  </w:docVars>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DC35483"/>
    <w:rsid w:val="29396169"/>
    <w:rsid w:val="3E6304AB"/>
    <w:rsid w:val="49784DE0"/>
    <w:rsid w:val="4D4E53DF"/>
    <w:rsid w:val="5D354BF2"/>
    <w:rsid w:val="6A1F7BEE"/>
    <w:rsid w:val="6B626739"/>
    <w:rsid w:val="6E347357"/>
    <w:rsid w:val="7CBC54F1"/>
    <w:rsid w:val="9477F47D"/>
    <w:rsid w:val="B5FBFE6D"/>
    <w:rsid w:val="DFBE18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customStyle="1" w:styleId="7">
    <w:name w:val="页脚 Char"/>
    <w:basedOn w:val="6"/>
    <w:link w:val="2"/>
    <w:qFormat/>
    <w:uiPriority w:val="99"/>
    <w:rPr>
      <w:rFonts w:ascii="Times New Roman" w:hAnsi="Times New Roman" w:eastAsia="宋体" w:cs="Times New Roman"/>
      <w:sz w:val="18"/>
      <w:szCs w:val="18"/>
    </w:rPr>
  </w:style>
  <w:style w:type="character" w:customStyle="1" w:styleId="8">
    <w:name w:val="页眉 Char"/>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Pages>
  <Words>2897</Words>
  <Characters>3024</Characters>
  <Lines>1</Lines>
  <Paragraphs>1</Paragraphs>
  <TotalTime>2</TotalTime>
  <ScaleCrop>false</ScaleCrop>
  <LinksUpToDate>false</LinksUpToDate>
  <CharactersWithSpaces>3061</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2019-02-21T04:00:00Z</dcterms:created>
  <dc:creator>CN=黄伟/O=wh.torch</dc:creator>
  <cp:lastModifiedBy>WPS_1629719149</cp:lastModifiedBy>
  <cp:lastPrinted>2022-07-14T08:36:00Z</cp:lastPrinted>
  <dcterms:modified xsi:type="dcterms:W3CDTF">2022-07-18T01:35:01Z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EE12CA614FF94EEC8DA28F672587922D</vt:lpwstr>
  </property>
</Properties>
</file>