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方正小标宋简体" w:hAnsi="方正小标宋简体" w:eastAsia="方正小标宋简体" w:cs="方正小标宋简体"/>
          <w:b w:val="0"/>
          <w:bCs/>
          <w:i w:val="0"/>
          <w:caps w:val="0"/>
          <w:color w:val="auto"/>
          <w:spacing w:val="0"/>
          <w:sz w:val="44"/>
          <w:szCs w:val="44"/>
          <w:shd w:val="clear" w:fill="FFFFFF"/>
          <w:lang w:eastAsia="zh-CN"/>
        </w:rPr>
      </w:pPr>
      <w:r>
        <w:rPr>
          <w:rFonts w:hint="eastAsia" w:ascii="方正小标宋简体" w:hAnsi="方正小标宋简体" w:eastAsia="方正小标宋简体" w:cs="方正小标宋简体"/>
          <w:b w:val="0"/>
          <w:bCs/>
          <w:i w:val="0"/>
          <w:caps w:val="0"/>
          <w:color w:val="auto"/>
          <w:spacing w:val="0"/>
          <w:sz w:val="44"/>
          <w:szCs w:val="44"/>
          <w:shd w:val="clear" w:fill="FFFFFF"/>
          <w:lang w:eastAsia="zh-CN"/>
        </w:rPr>
        <w:t>威海火炬高技术产业开发区行政审批服务局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方正小标宋简体" w:hAnsi="方正小标宋简体" w:eastAsia="方正小标宋简体" w:cs="方正小标宋简体"/>
          <w:b w:val="0"/>
          <w:bCs/>
          <w:i w:val="0"/>
          <w:caps w:val="0"/>
          <w:color w:val="auto"/>
          <w:spacing w:val="0"/>
          <w:sz w:val="44"/>
          <w:szCs w:val="44"/>
          <w:shd w:val="clear" w:fill="FFFFFF"/>
        </w:rPr>
      </w:pPr>
      <w:r>
        <w:rPr>
          <w:rFonts w:hint="eastAsia" w:ascii="方正小标宋简体" w:hAnsi="方正小标宋简体" w:eastAsia="方正小标宋简体" w:cs="方正小标宋简体"/>
          <w:b w:val="0"/>
          <w:bCs/>
          <w:i w:val="0"/>
          <w:caps w:val="0"/>
          <w:color w:val="auto"/>
          <w:spacing w:val="0"/>
          <w:sz w:val="44"/>
          <w:szCs w:val="44"/>
          <w:shd w:val="clear" w:fill="FFFFFF"/>
          <w:lang w:val="en-US" w:eastAsia="zh-CN"/>
        </w:rPr>
        <w:t>2019年</w:t>
      </w:r>
      <w:r>
        <w:rPr>
          <w:rFonts w:hint="eastAsia" w:ascii="方正小标宋简体" w:hAnsi="方正小标宋简体" w:eastAsia="方正小标宋简体" w:cs="方正小标宋简体"/>
          <w:b w:val="0"/>
          <w:bCs/>
          <w:i w:val="0"/>
          <w:caps w:val="0"/>
          <w:color w:val="auto"/>
          <w:spacing w:val="0"/>
          <w:sz w:val="44"/>
          <w:szCs w:val="44"/>
          <w:shd w:val="clear" w:fill="FFFFFF"/>
        </w:rPr>
        <w:t>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根据政务公开工作要求，现将威海火炬高技术产业开发区行政审批服务局2019年政务公开工作情况报告如下：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根据《中华人民共和国政府信息公开条例》和《山东省政府信息公开办法》的规定，2019年，区行政审批服务局继续扎实做好政务公开发布、解读和回应等工作。本报告由总体情况、主动公开政府信息情况、收到和处理政府信息公开申请情况、政府信息公开行政复议、行政诉讼情况、存在的主要问题及改进情况等六个部分组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default"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本报告中所列数据的统计期限自2019年1月1日起至2019年12月31日止。如对本报告有疑问，请与威海火炬高技术产业开发区行政审批服务局联系（地址：威海市抚顺路1号；邮编：264200；电话：0631-5625686）</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黑体" w:hAnsi="黑体" w:eastAsia="黑体" w:cs="黑体"/>
          <w:b w:val="0"/>
          <w:bCs/>
          <w:i w:val="0"/>
          <w:caps w:val="0"/>
          <w:color w:val="auto"/>
          <w:spacing w:val="0"/>
          <w:sz w:val="32"/>
          <w:szCs w:val="32"/>
        </w:rPr>
      </w:pPr>
      <w:r>
        <w:rPr>
          <w:rFonts w:hint="eastAsia" w:ascii="黑体" w:hAnsi="黑体" w:eastAsia="黑体" w:cs="黑体"/>
          <w:b w:val="0"/>
          <w:bCs/>
          <w:i w:val="0"/>
          <w:caps w:val="0"/>
          <w:color w:val="auto"/>
          <w:spacing w:val="0"/>
          <w:sz w:val="32"/>
          <w:szCs w:val="32"/>
          <w:shd w:val="clear" w:fill="FFFFFF"/>
        </w:rPr>
        <w:t>一、总体情况</w:t>
      </w:r>
    </w:p>
    <w:p>
      <w:pPr>
        <w:keepNext w:val="0"/>
        <w:keepLines w:val="0"/>
        <w:widowControl/>
        <w:suppressLineNumbers w:val="0"/>
        <w:ind w:firstLine="640" w:firstLineChars="200"/>
        <w:jc w:val="left"/>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2019年，行政审批服务局在区管委的领导下，认真贯彻落实修订后的《中华人民共和国政府信息公开条例》，坚持“公开为常态，不公开为例外”，重点推进政府信息公开工作。通过威海火炬高技术产业开发区政务信息网、威海市政务服务网、《威海高区报》以及新闻媒体、公告栏、电子显示屏、宣传手册、明白纸等多种形式、渠道，及时、全面、有效地公开政府信息，加大对我区政务服务的宣传力度，拓宽政府服务部门与公众的交流渠道，不断提高审批服务质量。</w:t>
      </w:r>
    </w:p>
    <w:p>
      <w:pPr>
        <w:keepNext w:val="0"/>
        <w:keepLines w:val="0"/>
        <w:widowControl/>
        <w:numPr>
          <w:ilvl w:val="0"/>
          <w:numId w:val="1"/>
        </w:numPr>
        <w:suppressLineNumbers w:val="0"/>
        <w:ind w:firstLine="620" w:firstLineChars="200"/>
        <w:jc w:val="left"/>
        <w:rPr>
          <w:rFonts w:ascii="楷体_GB2312" w:hAnsi="宋体" w:eastAsia="楷体_GB2312" w:cs="楷体_GB2312"/>
          <w:i w:val="0"/>
          <w:caps w:val="0"/>
          <w:color w:val="auto"/>
          <w:spacing w:val="0"/>
          <w:sz w:val="31"/>
          <w:szCs w:val="31"/>
        </w:rPr>
      </w:pPr>
      <w:r>
        <w:rPr>
          <w:rFonts w:ascii="楷体_GB2312" w:hAnsi="宋体" w:eastAsia="楷体_GB2312" w:cs="楷体_GB2312"/>
          <w:i w:val="0"/>
          <w:caps w:val="0"/>
          <w:color w:val="auto"/>
          <w:spacing w:val="0"/>
          <w:sz w:val="31"/>
          <w:szCs w:val="31"/>
        </w:rPr>
        <w:t>政府信息公开组织领导和制度建设情况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rPr>
          <w:rFonts w:ascii="微软雅黑" w:hAnsi="微软雅黑" w:eastAsia="微软雅黑" w:cs="微软雅黑"/>
          <w:i w:val="0"/>
          <w:caps w:val="0"/>
          <w:color w:val="auto"/>
          <w:spacing w:val="0"/>
          <w:sz w:val="22"/>
          <w:szCs w:val="22"/>
        </w:rPr>
      </w:pPr>
      <w:r>
        <w:rPr>
          <w:rFonts w:ascii="仿宋_GB2312" w:hAnsi="微软雅黑" w:eastAsia="仿宋_GB2312" w:cs="仿宋_GB2312"/>
          <w:i w:val="0"/>
          <w:caps w:val="0"/>
          <w:color w:val="auto"/>
          <w:spacing w:val="0"/>
          <w:sz w:val="31"/>
          <w:szCs w:val="31"/>
        </w:rPr>
        <w:t>1</w:t>
      </w:r>
      <w:r>
        <w:rPr>
          <w:rFonts w:hint="eastAsia" w:ascii="仿宋_GB2312" w:hAnsi="微软雅黑" w:eastAsia="仿宋_GB2312" w:cs="仿宋_GB2312"/>
          <w:i w:val="0"/>
          <w:caps w:val="0"/>
          <w:color w:val="auto"/>
          <w:spacing w:val="0"/>
          <w:sz w:val="31"/>
          <w:szCs w:val="31"/>
        </w:rPr>
        <w:t>、加强组织领导。</w:t>
      </w:r>
      <w:r>
        <w:rPr>
          <w:rFonts w:hint="eastAsia" w:ascii="仿宋_GB2312" w:hAnsi="微软雅黑" w:eastAsia="仿宋_GB2312" w:cs="仿宋_GB2312"/>
          <w:i w:val="0"/>
          <w:caps w:val="0"/>
          <w:color w:val="auto"/>
          <w:spacing w:val="0"/>
          <w:sz w:val="31"/>
          <w:szCs w:val="31"/>
          <w:lang w:eastAsia="zh-CN"/>
        </w:rPr>
        <w:t>把政务公开工作纳入行政审批服务局重要议事日程，</w:t>
      </w:r>
      <w:r>
        <w:rPr>
          <w:rFonts w:hint="eastAsia" w:ascii="仿宋_GB2312" w:hAnsi="微软雅黑" w:eastAsia="仿宋_GB2312" w:cs="仿宋_GB2312"/>
          <w:i w:val="0"/>
          <w:caps w:val="0"/>
          <w:color w:val="auto"/>
          <w:spacing w:val="0"/>
          <w:sz w:val="31"/>
          <w:szCs w:val="31"/>
        </w:rPr>
        <w:t>由</w:t>
      </w:r>
      <w:r>
        <w:rPr>
          <w:rFonts w:hint="eastAsia" w:ascii="仿宋_GB2312" w:hAnsi="微软雅黑" w:eastAsia="仿宋_GB2312" w:cs="仿宋_GB2312"/>
          <w:i w:val="0"/>
          <w:caps w:val="0"/>
          <w:color w:val="auto"/>
          <w:spacing w:val="0"/>
          <w:sz w:val="31"/>
          <w:szCs w:val="31"/>
          <w:lang w:eastAsia="zh-CN"/>
        </w:rPr>
        <w:t>局领导</w:t>
      </w:r>
      <w:r>
        <w:rPr>
          <w:rFonts w:hint="eastAsia" w:ascii="仿宋_GB2312" w:hAnsi="微软雅黑" w:eastAsia="仿宋_GB2312" w:cs="仿宋_GB2312"/>
          <w:i w:val="0"/>
          <w:caps w:val="0"/>
          <w:color w:val="auto"/>
          <w:spacing w:val="0"/>
          <w:sz w:val="31"/>
          <w:szCs w:val="31"/>
        </w:rPr>
        <w:t>负责政府信息公开全局性工作，严把信息公开审核关，强化科室及个人责任，形成上下联动、同步推进的工作体系，使政府信息公开工作与</w:t>
      </w:r>
      <w:r>
        <w:rPr>
          <w:rFonts w:hint="eastAsia" w:ascii="仿宋_GB2312" w:hAnsi="微软雅黑" w:eastAsia="仿宋_GB2312" w:cs="仿宋_GB2312"/>
          <w:i w:val="0"/>
          <w:caps w:val="0"/>
          <w:color w:val="auto"/>
          <w:spacing w:val="0"/>
          <w:sz w:val="31"/>
          <w:szCs w:val="31"/>
          <w:lang w:eastAsia="zh-CN"/>
        </w:rPr>
        <w:t>审批</w:t>
      </w:r>
      <w:r>
        <w:rPr>
          <w:rFonts w:hint="eastAsia" w:ascii="仿宋_GB2312" w:hAnsi="微软雅黑" w:eastAsia="仿宋_GB2312" w:cs="仿宋_GB2312"/>
          <w:i w:val="0"/>
          <w:caps w:val="0"/>
          <w:color w:val="auto"/>
          <w:spacing w:val="0"/>
          <w:sz w:val="31"/>
          <w:szCs w:val="31"/>
        </w:rPr>
        <w:t>工作融为一体，整体稳步推进。</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5"/>
        <w:rPr>
          <w:rFonts w:hint="eastAsia" w:ascii="微软雅黑" w:hAnsi="微软雅黑" w:eastAsia="微软雅黑" w:cs="微软雅黑"/>
          <w:i w:val="0"/>
          <w:caps w:val="0"/>
          <w:color w:val="auto"/>
          <w:spacing w:val="0"/>
          <w:sz w:val="22"/>
          <w:szCs w:val="22"/>
        </w:rPr>
      </w:pPr>
      <w:r>
        <w:rPr>
          <w:rFonts w:hint="eastAsia" w:ascii="仿宋_GB2312" w:hAnsi="微软雅黑" w:eastAsia="仿宋_GB2312" w:cs="仿宋_GB2312"/>
          <w:i w:val="0"/>
          <w:caps w:val="0"/>
          <w:color w:val="auto"/>
          <w:spacing w:val="0"/>
          <w:sz w:val="31"/>
          <w:szCs w:val="31"/>
        </w:rPr>
        <w:t>2、</w:t>
      </w:r>
      <w:r>
        <w:rPr>
          <w:rFonts w:hint="eastAsia" w:ascii="仿宋_GB2312" w:hAnsi="微软雅黑" w:eastAsia="仿宋_GB2312" w:cs="仿宋_GB2312"/>
          <w:i w:val="0"/>
          <w:caps w:val="0"/>
          <w:color w:val="auto"/>
          <w:spacing w:val="0"/>
          <w:sz w:val="31"/>
          <w:szCs w:val="31"/>
          <w:lang w:eastAsia="zh-CN"/>
        </w:rPr>
        <w:t>强化制度落实。按照政务信息公开工作的实际需要，进一步完善政务信息公开保密审查制度，全面理顺和规范了等信息公开相关制度，重点抓了政府信息公开发布协调、行政机关公文类信息公开审核、保密审查和重点决策公开等制度的落实。本着能公开全公开的原则，每月及时发布政府信息，由综合科负责汇总各科室政策法规解读等信息，对通过保密审查的信息，利用政</w:t>
      </w:r>
      <w:r>
        <w:rPr>
          <w:rFonts w:hint="eastAsia" w:ascii="仿宋_GB2312" w:hAnsi="微软雅黑" w:eastAsia="仿宋_GB2312" w:cs="仿宋_GB2312"/>
          <w:i w:val="0"/>
          <w:caps w:val="0"/>
          <w:color w:val="auto"/>
          <w:spacing w:val="0"/>
          <w:sz w:val="31"/>
          <w:szCs w:val="31"/>
        </w:rPr>
        <w:t>府信息公开网和</w:t>
      </w:r>
      <w:r>
        <w:rPr>
          <w:rFonts w:hint="eastAsia" w:ascii="仿宋_GB2312" w:hAnsi="微软雅黑" w:eastAsia="仿宋_GB2312" w:cs="仿宋_GB2312"/>
          <w:i w:val="0"/>
          <w:caps w:val="0"/>
          <w:color w:val="auto"/>
          <w:spacing w:val="0"/>
          <w:sz w:val="31"/>
          <w:szCs w:val="31"/>
          <w:lang w:eastAsia="zh-CN"/>
        </w:rPr>
        <w:t>威海政务服务网</w:t>
      </w:r>
      <w:r>
        <w:rPr>
          <w:rFonts w:hint="eastAsia" w:ascii="仿宋_GB2312" w:hAnsi="微软雅黑" w:eastAsia="仿宋_GB2312" w:cs="仿宋_GB2312"/>
          <w:i w:val="0"/>
          <w:caps w:val="0"/>
          <w:color w:val="auto"/>
          <w:spacing w:val="0"/>
          <w:sz w:val="31"/>
          <w:szCs w:val="31"/>
        </w:rPr>
        <w:t>等平台及时向社会公开。</w:t>
      </w:r>
    </w:p>
    <w:p>
      <w:pPr>
        <w:keepNext w:val="0"/>
        <w:keepLines w:val="0"/>
        <w:widowControl/>
        <w:numPr>
          <w:ilvl w:val="0"/>
          <w:numId w:val="1"/>
        </w:numPr>
        <w:suppressLineNumbers w:val="0"/>
        <w:ind w:firstLine="620" w:firstLineChars="200"/>
        <w:jc w:val="left"/>
        <w:rPr>
          <w:rFonts w:hint="eastAsia" w:ascii="楷体_GB2312" w:hAnsi="宋体" w:eastAsia="楷体_GB2312" w:cs="楷体_GB2312"/>
          <w:i w:val="0"/>
          <w:caps w:val="0"/>
          <w:color w:val="auto"/>
          <w:spacing w:val="0"/>
          <w:sz w:val="31"/>
          <w:szCs w:val="31"/>
          <w:lang w:val="en-US" w:eastAsia="zh-CN"/>
        </w:rPr>
      </w:pPr>
      <w:r>
        <w:rPr>
          <w:rFonts w:hint="eastAsia" w:ascii="楷体_GB2312" w:hAnsi="宋体" w:eastAsia="楷体_GB2312" w:cs="楷体_GB2312"/>
          <w:i w:val="0"/>
          <w:caps w:val="0"/>
          <w:color w:val="auto"/>
          <w:spacing w:val="0"/>
          <w:sz w:val="31"/>
          <w:szCs w:val="31"/>
          <w:lang w:val="en-US" w:eastAsia="zh-CN"/>
        </w:rPr>
        <w:t>依申请公开办理情况</w:t>
      </w:r>
    </w:p>
    <w:p>
      <w:pPr>
        <w:keepNext w:val="0"/>
        <w:keepLines w:val="0"/>
        <w:widowControl/>
        <w:suppressLineNumbers w:val="0"/>
        <w:ind w:firstLine="620" w:firstLineChars="200"/>
        <w:jc w:val="left"/>
        <w:rPr>
          <w:rFonts w:hint="eastAsia" w:ascii="仿宋_GB2312" w:hAnsi="微软雅黑" w:eastAsia="仿宋_GB2312" w:cs="仿宋_GB2312"/>
          <w:i w:val="0"/>
          <w:caps w:val="0"/>
          <w:color w:val="auto"/>
          <w:spacing w:val="0"/>
          <w:kern w:val="0"/>
          <w:sz w:val="31"/>
          <w:szCs w:val="31"/>
          <w:lang w:val="en-US" w:eastAsia="zh-CN" w:bidi="ar"/>
        </w:rPr>
      </w:pPr>
      <w:r>
        <w:rPr>
          <w:rFonts w:hint="eastAsia" w:ascii="仿宋_GB2312" w:hAnsi="微软雅黑" w:eastAsia="仿宋_GB2312" w:cs="仿宋_GB2312"/>
          <w:i w:val="0"/>
          <w:caps w:val="0"/>
          <w:color w:val="auto"/>
          <w:spacing w:val="0"/>
          <w:kern w:val="0"/>
          <w:sz w:val="31"/>
          <w:szCs w:val="31"/>
          <w:lang w:val="en-US" w:eastAsia="zh-CN" w:bidi="ar"/>
        </w:rPr>
        <w:t>2019年，全年共收到依申请信息公开1条，按时完成回复。</w:t>
      </w:r>
    </w:p>
    <w:p>
      <w:pPr>
        <w:keepNext w:val="0"/>
        <w:keepLines w:val="0"/>
        <w:widowControl/>
        <w:numPr>
          <w:ilvl w:val="0"/>
          <w:numId w:val="1"/>
        </w:numPr>
        <w:suppressLineNumbers w:val="0"/>
        <w:ind w:firstLine="620" w:firstLineChars="200"/>
        <w:jc w:val="left"/>
        <w:rPr>
          <w:rFonts w:hint="eastAsia" w:ascii="楷体_GB2312" w:hAnsi="宋体" w:eastAsia="楷体_GB2312" w:cs="楷体_GB2312"/>
          <w:i w:val="0"/>
          <w:caps w:val="0"/>
          <w:color w:val="auto"/>
          <w:spacing w:val="0"/>
          <w:sz w:val="31"/>
          <w:szCs w:val="31"/>
          <w:lang w:val="en-US" w:eastAsia="zh-CN"/>
        </w:rPr>
      </w:pPr>
      <w:r>
        <w:rPr>
          <w:rFonts w:hint="eastAsia" w:ascii="楷体_GB2312" w:hAnsi="宋体" w:eastAsia="楷体_GB2312" w:cs="楷体_GB2312"/>
          <w:i w:val="0"/>
          <w:caps w:val="0"/>
          <w:color w:val="auto"/>
          <w:spacing w:val="0"/>
          <w:sz w:val="31"/>
          <w:szCs w:val="31"/>
          <w:lang w:val="en-US" w:eastAsia="zh-CN"/>
        </w:rPr>
        <w:t>政务公开保密审查及监督检查情况</w:t>
      </w:r>
    </w:p>
    <w:p>
      <w:pPr>
        <w:keepNext w:val="0"/>
        <w:keepLines w:val="0"/>
        <w:widowControl/>
        <w:suppressLineNumbers w:val="0"/>
        <w:ind w:firstLine="620" w:firstLineChars="200"/>
        <w:jc w:val="left"/>
        <w:rPr>
          <w:rFonts w:hint="eastAsia" w:ascii="仿宋_GB2312" w:hAnsi="微软雅黑" w:eastAsia="仿宋_GB2312" w:cs="仿宋_GB2312"/>
          <w:i w:val="0"/>
          <w:caps w:val="0"/>
          <w:color w:val="auto"/>
          <w:spacing w:val="0"/>
          <w:kern w:val="0"/>
          <w:sz w:val="31"/>
          <w:szCs w:val="31"/>
          <w:lang w:val="en-US" w:eastAsia="zh-CN" w:bidi="ar"/>
        </w:rPr>
      </w:pPr>
      <w:r>
        <w:rPr>
          <w:rFonts w:hint="eastAsia" w:ascii="仿宋_GB2312" w:hAnsi="微软雅黑" w:eastAsia="仿宋_GB2312" w:cs="仿宋_GB2312"/>
          <w:i w:val="0"/>
          <w:caps w:val="0"/>
          <w:color w:val="auto"/>
          <w:spacing w:val="0"/>
          <w:kern w:val="0"/>
          <w:sz w:val="31"/>
          <w:szCs w:val="31"/>
          <w:lang w:val="en-US" w:eastAsia="zh-CN" w:bidi="ar"/>
        </w:rPr>
        <w:t>正确处理政务公开与安全保密的关系，严格执行政务公开保密审查制度和信息发布协调制度，对非涉密事项做到全面公开，对公开的信息全部按照科室确认初审、分管负责人审阅、主要负责人签批的程序规范对外发布。科室每月一自查，分管领导每季度一检查，及时发现问题与不足，及时补充完善相关信息，杜绝涉密信息对外发布，确保了我局信息发布的规范保密。</w:t>
      </w:r>
    </w:p>
    <w:p>
      <w:pPr>
        <w:pStyle w:val="2"/>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ind w:left="0" w:right="0" w:firstLine="420"/>
        <w:jc w:val="both"/>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主动公开政府信息情况</w:t>
      </w:r>
    </w:p>
    <w:p>
      <w:pPr>
        <w:keepNext w:val="0"/>
        <w:keepLines w:val="0"/>
        <w:widowControl/>
        <w:suppressLineNumbers w:val="0"/>
        <w:ind w:firstLine="640" w:firstLineChars="200"/>
        <w:jc w:val="left"/>
        <w:rPr>
          <w:rFonts w:hint="eastAsia" w:ascii="黑体" w:hAnsi="黑体" w:eastAsia="黑体" w:cs="黑体"/>
          <w:b w:val="0"/>
          <w:bCs/>
          <w:i w:val="0"/>
          <w:caps w:val="0"/>
          <w:color w:val="auto"/>
          <w:spacing w:val="0"/>
          <w:sz w:val="32"/>
          <w:szCs w:val="32"/>
          <w:shd w:val="clear" w:fill="FFFFFF"/>
        </w:rPr>
      </w:pPr>
      <w:r>
        <w:rPr>
          <w:rFonts w:hint="eastAsia" w:ascii="仿宋_GB2312" w:hAnsi="仿宋_GB2312" w:eastAsia="仿宋_GB2312" w:cs="仿宋_GB2312"/>
          <w:color w:val="auto"/>
          <w:kern w:val="0"/>
          <w:sz w:val="32"/>
          <w:szCs w:val="32"/>
          <w:lang w:val="en-US" w:eastAsia="zh-CN" w:bidi="ar"/>
        </w:rPr>
        <w:t>2019年</w:t>
      </w:r>
      <w:r>
        <w:rPr>
          <w:rFonts w:hint="eastAsia" w:ascii="宋体" w:hAnsi="宋体" w:eastAsia="仿宋_GB2312" w:cs="仿宋_GB2312"/>
          <w:color w:val="auto"/>
          <w:sz w:val="32"/>
          <w:szCs w:val="32"/>
        </w:rPr>
        <w:t>按照与市行政审批服务局上下统一的原则，规范梳理了全区149项行政许可事项的审批职能，最终明确了113项的审批职责由区行政审批服务局承担实施，其余36项因涉及国家机密、与行业监管密不可分、专业性强等原因，暂由其他7个相关业务主管部门承接</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lang w:val="en-US" w:eastAsia="zh-CN"/>
        </w:rPr>
        <w:t>自2019年4月8日正式对外承接业务共办结审批事项23097件。</w:t>
      </w:r>
    </w:p>
    <w:tbl>
      <w:tblPr>
        <w:tblStyle w:val="3"/>
        <w:tblW w:w="8140" w:type="dxa"/>
        <w:jc w:val="center"/>
        <w:shd w:val="clear" w:color="auto" w:fill="auto"/>
        <w:tblLayout w:type="fixed"/>
        <w:tblCellMar>
          <w:top w:w="0" w:type="dxa"/>
          <w:left w:w="0" w:type="dxa"/>
          <w:bottom w:w="0" w:type="dxa"/>
          <w:right w:w="0" w:type="dxa"/>
        </w:tblCellMar>
      </w:tblPr>
      <w:tblGrid>
        <w:gridCol w:w="3113"/>
        <w:gridCol w:w="1869"/>
        <w:gridCol w:w="1277"/>
        <w:gridCol w:w="1881"/>
      </w:tblGrid>
      <w:tr>
        <w:tblPrEx>
          <w:shd w:val="clear" w:color="auto" w:fill="auto"/>
          <w:tblCellMar>
            <w:top w:w="0" w:type="dxa"/>
            <w:left w:w="0" w:type="dxa"/>
            <w:bottom w:w="0" w:type="dxa"/>
            <w:right w:w="0"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kern w:val="0"/>
                <w:sz w:val="30"/>
                <w:szCs w:val="30"/>
                <w:lang w:val="en-US" w:eastAsia="zh-CN" w:bidi="ar"/>
              </w:rPr>
              <w:t>本年新</w:t>
            </w:r>
            <w:r>
              <w:rPr>
                <w:rFonts w:hint="eastAsia" w:ascii="仿宋_GB2312" w:hAnsi="仿宋_GB2312" w:eastAsia="仿宋_GB2312" w:cs="仿宋_GB2312"/>
                <w:color w:val="auto"/>
                <w:kern w:val="0"/>
                <w:sz w:val="30"/>
                <w:szCs w:val="30"/>
                <w:lang w:val="en-US" w:eastAsia="zh-CN" w:bidi="ar"/>
              </w:rPr>
              <w:br w:type="textWrapping"/>
            </w:r>
            <w:r>
              <w:rPr>
                <w:rFonts w:hint="eastAsia" w:ascii="仿宋_GB2312" w:hAnsi="仿宋_GB2312" w:eastAsia="仿宋_GB2312" w:cs="仿宋_GB2312"/>
                <w:color w:val="auto"/>
                <w:kern w:val="0"/>
                <w:sz w:val="30"/>
                <w:szCs w:val="30"/>
                <w:lang w:val="en-US" w:eastAsia="zh-CN" w:bidi="ar"/>
              </w:rPr>
              <w:t>制作数量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kern w:val="0"/>
                <w:sz w:val="30"/>
                <w:szCs w:val="30"/>
                <w:lang w:val="en-US" w:eastAsia="zh-CN" w:bidi="ar"/>
              </w:rPr>
              <w:t>本年新</w:t>
            </w:r>
            <w:r>
              <w:rPr>
                <w:rFonts w:hint="eastAsia" w:ascii="仿宋_GB2312" w:hAnsi="仿宋_GB2312" w:eastAsia="仿宋_GB2312" w:cs="仿宋_GB2312"/>
                <w:color w:val="auto"/>
                <w:kern w:val="0"/>
                <w:sz w:val="30"/>
                <w:szCs w:val="30"/>
                <w:lang w:val="en-US" w:eastAsia="zh-CN" w:bidi="ar"/>
              </w:rPr>
              <w:br w:type="textWrapping"/>
            </w:r>
            <w:r>
              <w:rPr>
                <w:rFonts w:hint="eastAsia" w:ascii="仿宋_GB2312" w:hAnsi="仿宋_GB2312" w:eastAsia="仿宋_GB2312" w:cs="仿宋_GB2312"/>
                <w:color w:val="auto"/>
                <w:kern w:val="0"/>
                <w:sz w:val="30"/>
                <w:szCs w:val="30"/>
                <w:lang w:val="en-US" w:eastAsia="zh-CN" w:bidi="ar"/>
              </w:rPr>
              <w:t>公开数量</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kern w:val="0"/>
                <w:sz w:val="30"/>
                <w:szCs w:val="30"/>
                <w:lang w:val="en-US" w:eastAsia="zh-CN" w:bidi="ar"/>
              </w:rPr>
              <w:t>对外公开总数量</w:t>
            </w:r>
          </w:p>
        </w:tc>
      </w:tr>
      <w:tr>
        <w:tblPrEx>
          <w:tblCellMar>
            <w:top w:w="0" w:type="dxa"/>
            <w:left w:w="0" w:type="dxa"/>
            <w:bottom w:w="0" w:type="dxa"/>
            <w:right w:w="0" w:type="dxa"/>
          </w:tblCellMar>
        </w:tblPrEx>
        <w:trPr>
          <w:trHeight w:val="0"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规章</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规范性文件</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　0</w:t>
            </w:r>
          </w:p>
        </w:tc>
      </w:tr>
      <w:tr>
        <w:tblPrEx>
          <w:tblCellMar>
            <w:top w:w="0" w:type="dxa"/>
            <w:left w:w="0" w:type="dxa"/>
            <w:bottom w:w="0" w:type="dxa"/>
            <w:right w:w="0"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本年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增/减</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行政许可</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1277"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149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　23097</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其他对外管理服务事项</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1277"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r>
      <w:tr>
        <w:tblPrEx>
          <w:tblCellMar>
            <w:top w:w="0" w:type="dxa"/>
            <w:left w:w="0" w:type="dxa"/>
            <w:bottom w:w="0" w:type="dxa"/>
            <w:right w:w="0"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本年增/减</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处理决定数量</w:t>
            </w:r>
          </w:p>
        </w:tc>
      </w:tr>
      <w:tr>
        <w:tblPrEx>
          <w:tblCellMar>
            <w:top w:w="0" w:type="dxa"/>
            <w:left w:w="0" w:type="dxa"/>
            <w:bottom w:w="0" w:type="dxa"/>
            <w:right w:w="0" w:type="dxa"/>
          </w:tblCellMar>
        </w:tblPrEx>
        <w:trPr>
          <w:trHeight w:val="735"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行政处罚</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　0</w:t>
            </w:r>
          </w:p>
        </w:tc>
        <w:tc>
          <w:tcPr>
            <w:tcW w:w="1277"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r>
      <w:tr>
        <w:tblPrEx>
          <w:tblCellMar>
            <w:top w:w="0" w:type="dxa"/>
            <w:left w:w="0" w:type="dxa"/>
            <w:bottom w:w="0" w:type="dxa"/>
            <w:right w:w="0" w:type="dxa"/>
          </w:tblCellMar>
        </w:tblPrEx>
        <w:trPr>
          <w:trHeight w:val="810"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行政强制</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1277"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　0</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r>
      <w:tr>
        <w:tblPrEx>
          <w:tblCellMar>
            <w:top w:w="0" w:type="dxa"/>
            <w:left w:w="0" w:type="dxa"/>
            <w:bottom w:w="0" w:type="dxa"/>
            <w:right w:w="0" w:type="dxa"/>
          </w:tblCellMar>
        </w:tblPrEx>
        <w:trPr>
          <w:trHeight w:val="474"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上一年项目数量</w:t>
            </w:r>
          </w:p>
        </w:tc>
        <w:tc>
          <w:tcPr>
            <w:tcW w:w="3158" w:type="dxa"/>
            <w:gridSpan w:val="2"/>
            <w:tcBorders>
              <w:top w:val="single" w:color="auto" w:sz="8" w:space="0"/>
              <w:left w:val="nil"/>
              <w:bottom w:val="single" w:color="auto" w:sz="8" w:space="0"/>
              <w:right w:val="single" w:color="000000"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行政事业性收费</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3158" w:type="dxa"/>
            <w:gridSpan w:val="2"/>
            <w:tcBorders>
              <w:top w:val="nil"/>
              <w:left w:val="nil"/>
              <w:bottom w:val="single" w:color="auto" w:sz="8" w:space="0"/>
              <w:right w:val="single" w:color="000000"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r>
      <w:tr>
        <w:tblPrEx>
          <w:tblCellMar>
            <w:top w:w="0" w:type="dxa"/>
            <w:left w:w="0" w:type="dxa"/>
            <w:bottom w:w="0" w:type="dxa"/>
            <w:right w:w="0" w:type="dxa"/>
          </w:tblCellMar>
        </w:tblPrEx>
        <w:trPr>
          <w:trHeight w:val="47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采购项目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数量</w:t>
            </w:r>
          </w:p>
        </w:tc>
        <w:tc>
          <w:tcPr>
            <w:tcW w:w="3158" w:type="dxa"/>
            <w:gridSpan w:val="2"/>
            <w:tcBorders>
              <w:top w:val="single" w:color="auto" w:sz="8" w:space="0"/>
              <w:left w:val="nil"/>
              <w:bottom w:val="single" w:color="auto" w:sz="8" w:space="0"/>
              <w:right w:val="single" w:color="000000"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政府集中采购</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3158" w:type="dxa"/>
            <w:gridSpan w:val="2"/>
            <w:tcBorders>
              <w:top w:val="nil"/>
              <w:left w:val="nil"/>
              <w:bottom w:val="single" w:color="auto" w:sz="8" w:space="0"/>
              <w:right w:val="single" w:color="000000" w:sz="8" w:space="0"/>
            </w:tcBorders>
            <w:shd w:val="clear" w:color="auto" w:fill="auto"/>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三、收到和处理政府信息公开申请情况</w:t>
      </w:r>
    </w:p>
    <w:tbl>
      <w:tblPr>
        <w:tblStyle w:val="3"/>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16"/>
        <w:gridCol w:w="931"/>
        <w:gridCol w:w="2009"/>
        <w:gridCol w:w="8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color w:val="auto"/>
                <w:sz w:val="32"/>
                <w:szCs w:val="32"/>
              </w:rPr>
            </w:pPr>
          </w:p>
        </w:tc>
        <w:tc>
          <w:tcPr>
            <w:tcW w:w="813"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自然人</w:t>
            </w:r>
          </w:p>
        </w:tc>
        <w:tc>
          <w:tcPr>
            <w:tcW w:w="400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24"/>
                <w:szCs w:val="24"/>
              </w:rPr>
            </w:pPr>
            <w:r>
              <w:rPr>
                <w:rFonts w:hint="eastAsia" w:ascii="Times New Roman" w:hAnsi="Times New Roman" w:eastAsia="宋体" w:cs="宋体"/>
                <w:color w:val="auto"/>
                <w:kern w:val="0"/>
                <w:sz w:val="32"/>
                <w:szCs w:val="32"/>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860" w:hRule="atLeast"/>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color w:val="auto"/>
                <w:sz w:val="32"/>
                <w:szCs w:val="32"/>
              </w:rPr>
            </w:pPr>
          </w:p>
        </w:tc>
        <w:tc>
          <w:tcPr>
            <w:tcW w:w="813"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color w:val="auto"/>
                <w:sz w:val="32"/>
                <w:szCs w:val="32"/>
              </w:rPr>
            </w:pP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商业企业</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科研机构</w:t>
            </w:r>
          </w:p>
        </w:tc>
        <w:tc>
          <w:tcPr>
            <w:tcW w:w="81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社会公益组织</w:t>
            </w:r>
          </w:p>
        </w:tc>
        <w:tc>
          <w:tcPr>
            <w:tcW w:w="97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法律服务机构</w:t>
            </w:r>
          </w:p>
        </w:tc>
        <w:tc>
          <w:tcPr>
            <w:tcW w:w="711"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其他</w:t>
            </w:r>
          </w:p>
        </w:tc>
        <w:tc>
          <w:tcPr>
            <w:tcW w:w="695"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color w:val="auto"/>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宋体" w:cs="宋体"/>
                <w:color w:val="auto"/>
                <w:kern w:val="0"/>
                <w:sz w:val="28"/>
                <w:szCs w:val="28"/>
                <w:lang w:val="en-US" w:eastAsia="zh-CN" w:bidi="ar"/>
              </w:rPr>
              <w:t>一、本年新收政府信息公开申请数量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1</w:t>
            </w:r>
            <w:r>
              <w:rPr>
                <w:rFonts w:hint="default" w:ascii="Times New Roman" w:hAnsi="Times New Roman" w:cs="Calibri" w:eastAsiaTheme="minorEastAsia"/>
                <w:color w:val="auto"/>
                <w:kern w:val="0"/>
                <w:sz w:val="28"/>
                <w:szCs w:val="28"/>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宋体" w:cs="宋体"/>
                <w:color w:val="auto"/>
                <w:kern w:val="0"/>
                <w:sz w:val="28"/>
                <w:szCs w:val="28"/>
                <w:lang w:val="en-US" w:eastAsia="zh-CN" w:bidi="ar"/>
              </w:rPr>
              <w:t>二、上年结转政府信息公开申请数量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ascii="Times New Roman" w:hAnsi="Times New Roman" w:eastAsia="宋体" w:cs="宋体"/>
                <w:color w:val="auto"/>
                <w:kern w:val="0"/>
                <w:sz w:val="28"/>
                <w:szCs w:val="28"/>
                <w:lang w:val="en-US" w:eastAsia="zh-CN" w:bidi="ar"/>
              </w:rPr>
              <w:t>三、本年度办理结果</w:t>
            </w: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（一）予以公开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1</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（二）部分公开（区分处理的，只计这一情形，不计其他情形）</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（三）不予公开</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1.属于国家秘密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2.其他法律行政法规禁止公开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3.危及“三安全一稳定”</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4.保护第三方合法权益</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5.属于三类内部事务信息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90" w:hRule="atLeast"/>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6.属于四类过程性信息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7.属于行政执法案卷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8.属于行政查询事项</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（四）无法提供</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1.本机关不掌握相关政府信息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2.没有现成信息需要另行制作</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3.补正后申请内容仍不明确</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（五）不予处理</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1.信访举报投诉类申请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2.重复申请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3.要求提供公开出版物</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4.无正当理由大量反复申请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5.要求行政机关确认或重新出具已获取信息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（六）其他处理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（七）总计</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color w:val="auto"/>
                <w:sz w:val="28"/>
                <w:szCs w:val="28"/>
                <w:lang w:val="en-US"/>
              </w:rPr>
            </w:pPr>
            <w:r>
              <w:rPr>
                <w:rFonts w:hint="eastAsia" w:cs="Calibri"/>
                <w:color w:val="auto"/>
                <w:kern w:val="0"/>
                <w:sz w:val="28"/>
                <w:szCs w:val="28"/>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宋体" w:cs="宋体"/>
                <w:color w:val="auto"/>
                <w:kern w:val="0"/>
                <w:sz w:val="28"/>
                <w:szCs w:val="28"/>
                <w:lang w:val="en-US" w:eastAsia="zh-CN" w:bidi="ar"/>
              </w:rPr>
              <w:t>四、结转下年度继续办理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eastAsiaTheme="minorEastAsia"/>
                <w:color w:val="auto"/>
                <w:sz w:val="28"/>
                <w:szCs w:val="28"/>
                <w:lang w:val="en-US" w:eastAsia="zh-CN"/>
              </w:rPr>
            </w:pPr>
            <w:r>
              <w:rPr>
                <w:rFonts w:hint="eastAsia"/>
                <w:color w:val="auto"/>
                <w:sz w:val="28"/>
                <w:szCs w:val="28"/>
                <w:lang w:val="en-US" w:eastAsia="zh-CN"/>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auto"/>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四、政府信息公开行政复议、行政诉讼情况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auto"/>
          <w:spacing w:val="0"/>
          <w:sz w:val="24"/>
          <w:szCs w:val="24"/>
        </w:rPr>
      </w:pPr>
    </w:p>
    <w:tbl>
      <w:tblPr>
        <w:tblStyle w:val="3"/>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总计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其他结果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尚未审结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其他结果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37"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default" w:ascii="Times New Roman" w:hAnsi="Times New Roman" w:cs="Calibri" w:eastAsiaTheme="minorEastAsia"/>
                <w:color w:val="auto"/>
                <w:kern w:val="0"/>
                <w:sz w:val="24"/>
                <w:szCs w:val="24"/>
                <w:lang w:val="en-US" w:eastAsia="zh-CN" w:bidi="ar"/>
              </w:rPr>
              <w:t> </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default" w:ascii="Times New Roman" w:hAnsi="Times New Roman" w:cs="Calibri" w:eastAsiaTheme="minorEastAsia"/>
                <w:color w:val="auto"/>
                <w:kern w:val="0"/>
                <w:sz w:val="24"/>
                <w:szCs w:val="24"/>
                <w:lang w:val="en-US" w:eastAsia="zh-CN" w:bidi="ar"/>
              </w:rPr>
              <w:t> </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default" w:ascii="Times New Roman" w:hAnsi="Times New Roman" w:cs="Calibri" w:eastAsiaTheme="minorEastAsia"/>
                <w:color w:val="auto"/>
                <w:kern w:val="0"/>
                <w:sz w:val="24"/>
                <w:szCs w:val="24"/>
                <w:lang w:val="en-US" w:eastAsia="zh-CN" w:bidi="ar"/>
              </w:rPr>
              <w:t> </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default" w:ascii="Times New Roman" w:hAnsi="Times New Roman" w:cs="Calibri" w:eastAsiaTheme="minorEastAsia"/>
                <w:color w:val="auto"/>
                <w:kern w:val="0"/>
                <w:sz w:val="24"/>
                <w:szCs w:val="24"/>
                <w:lang w:val="en-US" w:eastAsia="zh-CN" w:bidi="ar"/>
              </w:rPr>
              <w:t> </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default" w:ascii="Times New Roman" w:hAnsi="Times New Roman"/>
                <w:color w:val="auto"/>
                <w:sz w:val="24"/>
                <w:szCs w:val="24"/>
                <w:lang w:val="en-US"/>
              </w:rPr>
            </w:pPr>
            <w:r>
              <w:rPr>
                <w:rFonts w:hint="default" w:ascii="Times New Roman" w:hAnsi="Times New Roman" w:cs="Calibri" w:eastAsiaTheme="minorEastAsia"/>
                <w:color w:val="auto"/>
                <w:kern w:val="0"/>
                <w:sz w:val="24"/>
                <w:szCs w:val="24"/>
                <w:lang w:val="en-US" w:eastAsia="zh-CN" w:bidi="ar"/>
              </w:rPr>
              <w:t> </w:t>
            </w:r>
            <w:r>
              <w:rPr>
                <w:rFonts w:hint="eastAsia" w:cs="Calibri"/>
                <w:color w:val="auto"/>
                <w:kern w:val="0"/>
                <w:sz w:val="24"/>
                <w:szCs w:val="24"/>
                <w:lang w:val="en-US" w:eastAsia="zh-CN" w:bidi="ar"/>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eastAsia="宋体" w:cs="宋体"/>
                <w:color w:val="auto"/>
                <w:kern w:val="0"/>
                <w:sz w:val="24"/>
                <w:szCs w:val="24"/>
                <w:lang w:val="en-US" w:eastAsia="zh-CN" w:bidi="ar"/>
              </w:rPr>
              <w:t>0</w:t>
            </w: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eastAsiaTheme="minorEastAsia"/>
                <w:color w:val="auto"/>
                <w:sz w:val="24"/>
                <w:szCs w:val="24"/>
                <w:lang w:val="en-US" w:eastAsia="zh-CN"/>
              </w:rPr>
            </w:pPr>
            <w:r>
              <w:rPr>
                <w:rFonts w:hint="eastAsia"/>
                <w:color w:val="auto"/>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宋体" w:cs="宋体"/>
          <w:i w:val="0"/>
          <w:caps w:val="0"/>
          <w:color w:val="auto"/>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五、存在的主要问题及改进情况</w:t>
      </w:r>
    </w:p>
    <w:p>
      <w:pPr>
        <w:keepNext w:val="0"/>
        <w:keepLines w:val="0"/>
        <w:widowControl/>
        <w:suppressLineNumbers w:val="0"/>
        <w:pBdr>
          <w:bottom w:val="none" w:color="auto" w:sz="0" w:space="0"/>
        </w:pBdr>
        <w:shd w:val="clear" w:fill="FFFFFF"/>
        <w:spacing w:before="0" w:beforeAutospacing="0" w:after="0" w:afterAutospacing="0" w:line="600" w:lineRule="atLeast"/>
        <w:ind w:left="0" w:right="0" w:firstLine="640"/>
        <w:jc w:val="left"/>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2019年，行政审批服务局信息公开工作在区管委的正确领导下取得了一定成绩，但标准还不够高，内容还不够全面，信息更新还需要更及时；公开形式的便民性在今后的工作中需要进一步提高。按照相关规定和管委的工作要求，下一阶段将主要做好以下几方面工作：</w:t>
      </w:r>
    </w:p>
    <w:p>
      <w:pPr>
        <w:keepNext w:val="0"/>
        <w:keepLines w:val="0"/>
        <w:widowControl/>
        <w:suppressLineNumbers w:val="0"/>
        <w:pBdr>
          <w:bottom w:val="none" w:color="auto" w:sz="0" w:space="0"/>
        </w:pBdr>
        <w:shd w:val="clear" w:fill="FFFFFF"/>
        <w:spacing w:before="0" w:beforeAutospacing="0" w:after="0" w:afterAutospacing="0" w:line="600" w:lineRule="atLeast"/>
        <w:ind w:left="0" w:right="0" w:firstLine="0"/>
        <w:jc w:val="left"/>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      一是进一步强化组织领导。明确职责分工，完善工作机制，加强信息报送工作力度，使信息公开业务更加有序、便民、高效，确保广大人民群众的知情权、参与权、表达权和监督。</w:t>
      </w:r>
    </w:p>
    <w:p>
      <w:pPr>
        <w:keepNext w:val="0"/>
        <w:keepLines w:val="0"/>
        <w:widowControl/>
        <w:suppressLineNumbers w:val="0"/>
        <w:pBdr>
          <w:bottom w:val="none" w:color="auto" w:sz="0" w:space="0"/>
        </w:pBdr>
        <w:shd w:val="clear" w:fill="FFFFFF"/>
        <w:spacing w:before="0" w:beforeAutospacing="0" w:after="0" w:afterAutospacing="0" w:line="600" w:lineRule="atLeast"/>
        <w:ind w:left="0" w:right="0" w:firstLine="0"/>
        <w:jc w:val="left"/>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      二是加强保密审查，扩展公开范围。对照相关法律规定的具体要求，认真清理政府信息公开事项，查漏补缺，修订信息公开指南和目录，确保应公开的政务信息全部公开。同时严把质量关、保密审查关，依据有关法律、法规严格审核公开内容，确保政府信息公开不影响国家安全、公共安全、经济安全和社会稳定，真正体现公开、公平、公正。</w:t>
      </w:r>
    </w:p>
    <w:p>
      <w:pPr>
        <w:keepNext w:val="0"/>
        <w:keepLines w:val="0"/>
        <w:widowControl/>
        <w:suppressLineNumbers w:val="0"/>
        <w:pBdr>
          <w:bottom w:val="none" w:color="auto" w:sz="0" w:space="0"/>
        </w:pBdr>
        <w:shd w:val="clear" w:fill="FFFFFF"/>
        <w:spacing w:before="0" w:beforeAutospacing="0" w:after="0" w:afterAutospacing="0" w:line="600" w:lineRule="atLeast"/>
        <w:ind w:left="0" w:right="0" w:firstLine="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 xml:space="preserve">      三是进一步拓宽信息公开途径。通过网络、微信、微博等多种方式加大政府信息工作的宣传力度，进一步细化信息公开工作流程，拓宽公开渠道，确保操作简便明了，利于查找。 </w:t>
      </w:r>
    </w:p>
    <w:p>
      <w:pPr>
        <w:keepNext w:val="0"/>
        <w:keepLines w:val="0"/>
        <w:widowControl/>
        <w:suppressLineNumbers w:val="0"/>
        <w:pBdr>
          <w:bottom w:val="none" w:color="auto" w:sz="0" w:space="0"/>
        </w:pBdr>
        <w:shd w:val="clear" w:fill="FFFFFF"/>
        <w:spacing w:before="0" w:beforeAutospacing="0" w:after="0" w:afterAutospacing="0" w:line="600" w:lineRule="atLeast"/>
        <w:ind w:left="0" w:right="0" w:firstLine="640" w:firstLineChars="200"/>
        <w:jc w:val="left"/>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四是进一步发挥政务公开在推进工作中的作用。充分运用“互联网+政务服务”，实现政务数据互联共享，让信息多跑路、群众少跑腿。进一步优化对审批规则和标准的公开，不断提高公开质量、优化公开后的服务，更好助力审批服务能力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六、其他需要报告的事项</w:t>
      </w:r>
    </w:p>
    <w:p>
      <w:pPr>
        <w:ind w:firstLine="640" w:firstLineChars="200"/>
        <w:rPr>
          <w:rFonts w:hint="eastAsia" w:eastAsiaTheme="minorEastAsia"/>
          <w:color w:val="auto"/>
          <w:lang w:eastAsia="zh-CN"/>
        </w:rPr>
      </w:pPr>
      <w:r>
        <w:rPr>
          <w:rFonts w:hint="eastAsia" w:ascii="仿宋_GB2312" w:hAnsi="仿宋_GB2312" w:eastAsia="仿宋_GB2312" w:cs="仿宋_GB2312"/>
          <w:i w:val="0"/>
          <w:caps w:val="0"/>
          <w:color w:val="auto"/>
          <w:spacing w:val="0"/>
          <w:sz w:val="32"/>
          <w:szCs w:val="32"/>
          <w:shd w:val="clear" w:fill="FFFFFF"/>
          <w:lang w:eastAsia="zh-CN"/>
        </w:rPr>
        <w:t>无</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C37208A"/>
    <w:multiLevelType w:val="singleLevel"/>
    <w:tmpl w:val="EC37208A"/>
    <w:lvl w:ilvl="0" w:tentative="0">
      <w:start w:val="2"/>
      <w:numFmt w:val="chineseCounting"/>
      <w:suff w:val="nothing"/>
      <w:lvlText w:val="%1、"/>
      <w:lvlJc w:val="left"/>
      <w:rPr>
        <w:rFonts w:hint="eastAsia"/>
      </w:rPr>
    </w:lvl>
  </w:abstractNum>
  <w:abstractNum w:abstractNumId="1">
    <w:nsid w:val="2F481182"/>
    <w:multiLevelType w:val="singleLevel"/>
    <w:tmpl w:val="2F481182"/>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E58CA"/>
    <w:rsid w:val="029B2060"/>
    <w:rsid w:val="06BB47AE"/>
    <w:rsid w:val="08F3387F"/>
    <w:rsid w:val="18C6221F"/>
    <w:rsid w:val="1AAE7167"/>
    <w:rsid w:val="2D575185"/>
    <w:rsid w:val="4C8125F3"/>
    <w:rsid w:val="51B11AE4"/>
    <w:rsid w:val="58AE58CA"/>
    <w:rsid w:val="5AB969DD"/>
    <w:rsid w:val="63E93DB9"/>
    <w:rsid w:val="68237C56"/>
    <w:rsid w:val="7E5044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Theme="minorEastAsia" w:cstheme="minorBidi"/>
      <w:kern w:val="2"/>
      <w:sz w:val="32"/>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2020-01-09T03:04:00Z</dcterms:created>
  <dc:creator>Administrator</dc:creator>
  <cp:lastModifiedBy>M1395413082</cp:lastModifiedBy>
  <cp:lastPrinted>2020-01-16T01:16:00Z</cp:lastPrinted>
  <dcterms:modified xsi:type="dcterms:W3CDTF">2020-01-22T07:25:14Z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