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宋体" w:eastAsia="黑体" w:cs="黑体"/>
          <w:bCs/>
          <w:sz w:val="32"/>
          <w:szCs w:val="32"/>
          <w:lang w:eastAsia="zh-CN"/>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威海火炬高技术产业开发区电热毯产品质量监督抽查实施细则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1 抽样 </w:t>
      </w:r>
    </w:p>
    <w:p>
      <w:pPr>
        <w:widowControl/>
        <w:spacing w:line="360" w:lineRule="auto"/>
        <w:jc w:val="left"/>
        <w:rPr>
          <w:sz w:val="20"/>
          <w:szCs w:val="20"/>
        </w:rPr>
      </w:pPr>
      <w:r>
        <w:rPr>
          <w:rFonts w:hint="eastAsia" w:ascii="宋体" w:hAnsi="宋体" w:eastAsia="宋体" w:cs="宋体"/>
          <w:color w:val="000000"/>
          <w:kern w:val="0"/>
          <w:sz w:val="20"/>
          <w:szCs w:val="20"/>
        </w:rPr>
        <w:t xml:space="preserve">1.1 抽样方法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以随机抽样的方式在被抽样</w:t>
      </w:r>
      <w:bookmarkStart w:id="0" w:name="_GoBack"/>
      <w:bookmarkEnd w:id="0"/>
      <w:r>
        <w:rPr>
          <w:rFonts w:hint="eastAsia" w:ascii="宋体" w:hAnsi="宋体" w:eastAsia="宋体" w:cs="宋体"/>
          <w:color w:val="000000"/>
          <w:kern w:val="0"/>
          <w:sz w:val="20"/>
          <w:szCs w:val="20"/>
        </w:rPr>
        <w:t xml:space="preserve">销售者的待销产品中抽取。 </w:t>
      </w:r>
    </w:p>
    <w:p>
      <w:pPr>
        <w:widowControl/>
        <w:spacing w:line="360" w:lineRule="auto"/>
        <w:jc w:val="left"/>
        <w:rPr>
          <w:sz w:val="20"/>
          <w:szCs w:val="20"/>
        </w:rPr>
      </w:pPr>
      <w:r>
        <w:rPr>
          <w:rFonts w:hint="eastAsia" w:ascii="宋体" w:hAnsi="宋体" w:eastAsia="宋体" w:cs="宋体"/>
          <w:color w:val="000000"/>
          <w:kern w:val="0"/>
          <w:sz w:val="20"/>
          <w:szCs w:val="20"/>
        </w:rPr>
        <w:t xml:space="preserve">1.2 抽样基数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抽查样品基数满足抽样数量即可。 </w:t>
      </w:r>
    </w:p>
    <w:p>
      <w:pPr>
        <w:widowControl/>
        <w:spacing w:line="360" w:lineRule="auto"/>
        <w:jc w:val="left"/>
        <w:rPr>
          <w:sz w:val="20"/>
          <w:szCs w:val="20"/>
        </w:rPr>
      </w:pPr>
      <w:r>
        <w:rPr>
          <w:rFonts w:hint="eastAsia" w:ascii="宋体" w:hAnsi="宋体" w:eastAsia="宋体" w:cs="宋体"/>
          <w:color w:val="000000"/>
          <w:kern w:val="0"/>
          <w:sz w:val="20"/>
          <w:szCs w:val="20"/>
        </w:rPr>
        <w:t xml:space="preserve">1.3 抽样数量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每批次产品抽取样品 2 台，其中 1 台作为检验样品，1 台作为备用样品。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2 检验项目及检测方法 </w:t>
      </w:r>
    </w:p>
    <w:p>
      <w:pPr>
        <w:widowControl/>
        <w:jc w:val="center"/>
        <w:rPr>
          <w:sz w:val="20"/>
          <w:szCs w:val="20"/>
        </w:rPr>
      </w:pPr>
      <w:r>
        <w:rPr>
          <w:rFonts w:hint="eastAsia" w:ascii="宋体" w:hAnsi="宋体" w:eastAsia="宋体" w:cs="宋体"/>
          <w:b/>
          <w:bCs/>
          <w:color w:val="000000"/>
          <w:kern w:val="0"/>
          <w:sz w:val="20"/>
          <w:szCs w:val="20"/>
        </w:rPr>
        <w:t xml:space="preserve">表 1 </w:t>
      </w:r>
      <w:r>
        <w:rPr>
          <w:rFonts w:hint="eastAsia" w:ascii="宋体" w:hAnsi="宋体" w:eastAsia="宋体" w:cs="宋体"/>
          <w:b/>
          <w:bCs/>
          <w:color w:val="000000"/>
          <w:kern w:val="0"/>
          <w:sz w:val="20"/>
          <w:szCs w:val="20"/>
          <w:lang w:eastAsia="zh-CN"/>
        </w:rPr>
        <w:t>电热毯</w:t>
      </w:r>
      <w:r>
        <w:rPr>
          <w:rFonts w:hint="eastAsia" w:ascii="宋体" w:hAnsi="宋体" w:eastAsia="宋体" w:cs="宋体"/>
          <w:b/>
          <w:bCs/>
          <w:color w:val="000000"/>
          <w:kern w:val="0"/>
          <w:sz w:val="20"/>
          <w:szCs w:val="20"/>
        </w:rPr>
        <w:t>产品检验项目</w:t>
      </w:r>
    </w:p>
    <w:tbl>
      <w:tblPr>
        <w:tblStyle w:val="5"/>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3600"/>
        <w:gridCol w:w="3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35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序号</w:t>
            </w:r>
          </w:p>
        </w:tc>
        <w:tc>
          <w:tcPr>
            <w:tcW w:w="36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检验项目</w:t>
            </w:r>
          </w:p>
        </w:tc>
        <w:tc>
          <w:tcPr>
            <w:tcW w:w="337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35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hint="default" w:ascii="Calibri" w:hAnsi="Calibri" w:eastAsia="宋体" w:cs="Times New Roman"/>
                <w:sz w:val="20"/>
                <w:szCs w:val="20"/>
              </w:rPr>
            </w:pPr>
          </w:p>
        </w:tc>
        <w:tc>
          <w:tcPr>
            <w:tcW w:w="36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hint="default" w:ascii="Calibri" w:hAnsi="Calibri" w:eastAsia="宋体" w:cs="Times New Roman"/>
                <w:sz w:val="20"/>
                <w:szCs w:val="20"/>
              </w:rPr>
            </w:pPr>
          </w:p>
        </w:tc>
        <w:tc>
          <w:tcPr>
            <w:tcW w:w="337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hint="default" w:ascii="Calibri" w:hAnsi="Calibri" w:eastAsia="宋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1</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对触及带电部件的防护</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lang w:val="en-US" w:eastAsia="zh-CN"/>
              </w:rPr>
            </w:pPr>
            <w:r>
              <w:rPr>
                <w:rFonts w:hint="eastAsia" w:ascii="宋体" w:hAnsi="宋体" w:eastAsia="宋体" w:cs="宋体"/>
                <w:bCs/>
                <w:spacing w:val="5"/>
                <w:sz w:val="20"/>
                <w:szCs w:val="20"/>
                <w:lang w:eastAsia="zh-CN"/>
              </w:rPr>
              <w:t>GB 4706.8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2</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输入功率和电流</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3</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eastAsiaTheme="minorEastAsia"/>
                <w:color w:val="000000"/>
                <w:sz w:val="20"/>
                <w:szCs w:val="20"/>
                <w:lang w:eastAsia="zh-CN"/>
              </w:rPr>
            </w:pPr>
            <w:r>
              <w:rPr>
                <w:rFonts w:hint="eastAsia"/>
                <w:color w:val="000000"/>
                <w:sz w:val="20"/>
                <w:szCs w:val="20"/>
              </w:rPr>
              <w:t>泄漏电流</w:t>
            </w:r>
            <w:r>
              <w:rPr>
                <w:rFonts w:hint="eastAsia"/>
                <w:color w:val="000000"/>
                <w:sz w:val="20"/>
                <w:szCs w:val="20"/>
                <w:lang w:eastAsia="zh-CN"/>
              </w:rPr>
              <w:t>和电气强度</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4</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机械强度</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5</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电源连接和外部软线</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eastAsia" w:ascii="Calibri" w:hAnsi="Calibri" w:eastAsia="宋体" w:cs="Times New Roman"/>
                <w:kern w:val="2"/>
                <w:sz w:val="20"/>
                <w:szCs w:val="20"/>
                <w:lang w:val="en-US" w:eastAsia="zh-CN" w:bidi="ar-SA"/>
              </w:rPr>
            </w:pPr>
            <w:r>
              <w:rPr>
                <w:rFonts w:hint="eastAsia" w:ascii="宋体" w:hAnsi="宋体" w:eastAsia="宋体" w:cs="宋体"/>
                <w:bCs/>
                <w:spacing w:val="5"/>
                <w:sz w:val="20"/>
                <w:szCs w:val="20"/>
                <w:lang w:eastAsia="zh-CN"/>
              </w:rPr>
              <w:t>GB 4706.8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6</w:t>
            </w:r>
          </w:p>
        </w:tc>
        <w:tc>
          <w:tcPr>
            <w:tcW w:w="36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电气间隙、爬电距离和固体绝缘</w:t>
            </w:r>
          </w:p>
        </w:tc>
        <w:tc>
          <w:tcPr>
            <w:tcW w:w="33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eastAsia" w:ascii="Calibri" w:hAnsi="Calibri" w:eastAsia="宋体" w:cs="Times New Roman"/>
                <w:kern w:val="2"/>
                <w:sz w:val="20"/>
                <w:szCs w:val="20"/>
                <w:lang w:val="en-US" w:eastAsia="zh-CN" w:bidi="ar-SA"/>
              </w:rPr>
            </w:pPr>
            <w:r>
              <w:rPr>
                <w:rFonts w:hint="eastAsia" w:ascii="宋体" w:hAnsi="宋体" w:eastAsia="宋体" w:cs="宋体"/>
                <w:bCs/>
                <w:spacing w:val="5"/>
                <w:sz w:val="20"/>
                <w:szCs w:val="20"/>
                <w:lang w:eastAsia="zh-CN"/>
              </w:rPr>
              <w:t>GB 4706.8</w:t>
            </w:r>
          </w:p>
        </w:tc>
      </w:tr>
    </w:tbl>
    <w:p>
      <w:pPr>
        <w:keepNext w:val="0"/>
        <w:keepLines w:val="0"/>
        <w:pageBreakBefore w:val="0"/>
        <w:widowControl/>
        <w:kinsoku/>
        <w:wordWrap/>
        <w:overflowPunct/>
        <w:topLinePunct w:val="0"/>
        <w:autoSpaceDE/>
        <w:autoSpaceDN/>
        <w:bidi w:val="0"/>
        <w:adjustRightInd/>
        <w:snapToGrid/>
        <w:spacing w:line="360" w:lineRule="auto"/>
        <w:jc w:val="left"/>
        <w:textAlignment w:val="auto"/>
        <w:rPr>
          <w:sz w:val="20"/>
          <w:szCs w:val="20"/>
        </w:rPr>
      </w:pPr>
      <w:r>
        <w:rPr>
          <w:rFonts w:hint="eastAsia" w:ascii="宋体" w:hAnsi="宋体" w:eastAsia="宋体" w:cs="宋体"/>
          <w:color w:val="000000"/>
          <w:kern w:val="0"/>
          <w:sz w:val="20"/>
          <w:szCs w:val="20"/>
        </w:rPr>
        <w:t xml:space="preserve">注：上表所列检验项目是有关法律法规、标准等规定的，重点涉及健康、安全、节能、环保以及消费者、有关组织反映有质量问题的重要项目。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rPr>
        <w:t xml:space="preserve">执行企业标准、团体标准、地方标准的产品，检验项目参照上述内容执行。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rPr>
        <w:t xml:space="preserve">凡是注日期的文件，其随后所有的修改单（不包括勘误的内容）或修订版不适用于本细则。凡是不注日期的文件，其最新版本适用于本细则。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3 判定规则 </w:t>
      </w:r>
    </w:p>
    <w:p>
      <w:pPr>
        <w:keepNext w:val="0"/>
        <w:keepLines w:val="0"/>
        <w:pageBreakBefore w:val="0"/>
        <w:widowControl/>
        <w:kinsoku/>
        <w:wordWrap/>
        <w:overflowPunct/>
        <w:topLinePunct w:val="0"/>
        <w:autoSpaceDE/>
        <w:autoSpaceDN/>
        <w:bidi w:val="0"/>
        <w:adjustRightInd/>
        <w:snapToGrid/>
        <w:spacing w:line="360" w:lineRule="auto"/>
        <w:jc w:val="left"/>
        <w:textAlignment w:val="auto"/>
        <w:rPr>
          <w:sz w:val="20"/>
          <w:szCs w:val="20"/>
        </w:rPr>
      </w:pPr>
      <w:r>
        <w:rPr>
          <w:rFonts w:hint="eastAsia" w:ascii="宋体" w:hAnsi="宋体" w:eastAsia="宋体" w:cs="宋体"/>
          <w:color w:val="000000"/>
          <w:kern w:val="0"/>
          <w:sz w:val="20"/>
          <w:szCs w:val="20"/>
        </w:rPr>
        <w:t xml:space="preserve">3.1 标准依据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rPr>
        <w:t xml:space="preserve">GB 4706.1 家用和类似用途电器的安全 第 1 部分：通用要求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default" w:ascii="宋体" w:hAnsi="宋体" w:eastAsia="宋体" w:cs="宋体"/>
          <w:color w:val="000000"/>
          <w:kern w:val="0"/>
          <w:sz w:val="20"/>
          <w:szCs w:val="20"/>
          <w:lang w:val="en-US"/>
        </w:rPr>
      </w:pPr>
      <w:r>
        <w:rPr>
          <w:rFonts w:hint="eastAsia" w:ascii="宋体" w:hAnsi="宋体" w:eastAsia="宋体" w:cs="宋体"/>
          <w:color w:val="000000"/>
          <w:kern w:val="0"/>
          <w:sz w:val="20"/>
          <w:szCs w:val="20"/>
          <w:lang w:eastAsia="zh-CN"/>
        </w:rPr>
        <w:t>GB 4706.8</w:t>
      </w:r>
      <w:r>
        <w:rPr>
          <w:rFonts w:hint="eastAsia" w:ascii="宋体" w:hAnsi="宋体" w:eastAsia="宋体" w:cs="宋体"/>
          <w:color w:val="000000"/>
          <w:kern w:val="0"/>
          <w:sz w:val="20"/>
          <w:szCs w:val="20"/>
          <w:lang w:val="en-US" w:eastAsia="zh-CN"/>
        </w:rPr>
        <w:t>家用和类似用途电器的安全 电热毯 电热垫及类似柔性发热器具的特殊要求</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eastAsia="zh-CN"/>
        </w:rPr>
        <w:t>相关法律</w:t>
      </w:r>
      <w:r>
        <w:rPr>
          <w:rFonts w:hint="eastAsia" w:ascii="宋体" w:hAnsi="宋体" w:eastAsia="宋体" w:cs="宋体"/>
          <w:color w:val="000000"/>
          <w:kern w:val="0"/>
          <w:sz w:val="20"/>
          <w:szCs w:val="20"/>
        </w:rPr>
        <w:t>行政法规、部门规章、规范性文件</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rPr>
        <w:t xml:space="preserve">现行有效的企业标准、团体标准、地方标准及产品明示质量要求 </w:t>
      </w:r>
    </w:p>
    <w:p>
      <w:pPr>
        <w:widowControl/>
        <w:spacing w:line="360" w:lineRule="auto"/>
        <w:jc w:val="left"/>
        <w:rPr>
          <w:sz w:val="20"/>
          <w:szCs w:val="20"/>
        </w:rPr>
      </w:pPr>
      <w:r>
        <w:rPr>
          <w:rFonts w:hint="eastAsia" w:ascii="宋体" w:hAnsi="宋体" w:eastAsia="宋体" w:cs="宋体"/>
          <w:color w:val="000000"/>
          <w:kern w:val="0"/>
          <w:sz w:val="20"/>
          <w:szCs w:val="20"/>
        </w:rPr>
        <w:t xml:space="preserve">3.2 判定原则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经检验，检验项目全部合格，判定为被抽查产品所检项目未发现不合格；检验项目中任一项或一项以上不合格，判定为被抽查产品不合格。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若被检产品明示的质量要求高于本细则中检验项目依据的标准要求时，应按被检产品明示的质量要求判定。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若被检产品明示的质量要求低于本细则中检验项目依据的强制性标准要求时，应按照强制性标准要求判定。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若被检产品明示的质量要求低于或包含细则中检验项目依据的推荐性标准要求时，应以被检产品明示的质量要求判定，但应在检验报告备注中进行说明。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若被检产品明示的质量要求缺少本细则中检验项目依据的强制性标准要求时，应按照强制性标准要求判定。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若被检产品明示的质量要求缺少本细则中检验项目依据的推荐性标准要求时，该项目不参与判定，但应在检验报告备注中进行说明。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4 异议复检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本细则中确定的全部检验项目，采用备用样品进行复检。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docVars>
    <w:docVar w:name="commondata" w:val="eyJoZGlkIjoiZjc3ZjlhMmFhNDM4OWQ1Y2M3OWYxYjE0NWM1MWRkNjgifQ=="/>
  </w:docVars>
  <w:rsids>
    <w:rsidRoot w:val="00A73DC7"/>
    <w:rsid w:val="00240AD3"/>
    <w:rsid w:val="0068431F"/>
    <w:rsid w:val="00A73DC7"/>
    <w:rsid w:val="08812ED8"/>
    <w:rsid w:val="10B7251A"/>
    <w:rsid w:val="12F26333"/>
    <w:rsid w:val="16AD1CD2"/>
    <w:rsid w:val="23467142"/>
    <w:rsid w:val="26207C9C"/>
    <w:rsid w:val="2B69120C"/>
    <w:rsid w:val="4C257571"/>
    <w:rsid w:val="55027C53"/>
    <w:rsid w:val="5C176162"/>
    <w:rsid w:val="69F34450"/>
    <w:rsid w:val="6BC6193A"/>
    <w:rsid w:val="77916E21"/>
    <w:rsid w:val="7BC21317"/>
    <w:rsid w:val="7CDB7B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0"/>
    <w:rPr>
      <w:rFonts w:asciiTheme="minorHAnsi" w:hAnsiTheme="minorHAnsi" w:eastAsiaTheme="minorEastAsia" w:cstheme="minorBidi"/>
      <w:kern w:val="2"/>
      <w:sz w:val="18"/>
      <w:szCs w:val="18"/>
    </w:rPr>
  </w:style>
  <w:style w:type="character" w:customStyle="1" w:styleId="8">
    <w:name w:val="页脚 Char"/>
    <w:basedOn w:val="6"/>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206</Words>
  <Characters>1177</Characters>
  <Lines>9</Lines>
  <Paragraphs>2</Paragraphs>
  <TotalTime>10</TotalTime>
  <ScaleCrop>false</ScaleCrop>
  <LinksUpToDate>false</LinksUpToDate>
  <CharactersWithSpaces>1381</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2024-03-13T07:03:00Z</dcterms:created>
  <dc:creator>lenovo</dc:creator>
  <cp:lastModifiedBy>叁柒肆拾玖</cp:lastModifiedBy>
  <dcterms:modified xsi:type="dcterms:W3CDTF">2024-04-03T06:35:55Z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7D09029C4740416BB98A975A3B285467_12</vt:lpwstr>
  </property>
</Properties>
</file>