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56" w:line="219" w:lineRule="auto"/>
        <w:jc w:val="center"/>
        <w:outlineLvl w:val="0"/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pacing w:val="-5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威海火炬高技术产业开发区复合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pacing w:val="-5"/>
          <w:sz w:val="28"/>
          <w:szCs w:val="28"/>
          <w14:textFill>
            <w14:solidFill>
              <w14:schemeClr w14:val="tx1"/>
            </w14:solidFill>
          </w14:textFill>
        </w:rPr>
        <w:t>肥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pacing w:val="-5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料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pacing w:val="-5"/>
          <w:sz w:val="28"/>
          <w:szCs w:val="28"/>
          <w14:textFill>
            <w14:solidFill>
              <w14:schemeClr w14:val="tx1"/>
            </w14:solidFill>
          </w14:textFill>
        </w:rPr>
        <w:t>产品质量监督抽查实施细则</w:t>
      </w:r>
    </w:p>
    <w:p>
      <w:pPr>
        <w:pStyle w:val="2"/>
        <w:spacing w:before="212" w:line="220" w:lineRule="auto"/>
        <w:ind w:left="3291"/>
        <w:jc w:val="both"/>
        <w:outlineLvl w:val="0"/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pacing w:val="-7"/>
          <w:sz w:val="28"/>
          <w:szCs w:val="28"/>
          <w14:textFill>
            <w14:solidFill>
              <w14:schemeClr w14:val="tx1"/>
            </w14:solidFill>
          </w14:textFill>
        </w:rPr>
        <w:t>（2024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pacing w:val="-52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pacing w:val="-7"/>
          <w:sz w:val="28"/>
          <w:szCs w:val="28"/>
          <w14:textFill>
            <w14:solidFill>
              <w14:schemeClr w14:val="tx1"/>
            </w14:solidFill>
          </w14:textFill>
        </w:rPr>
        <w:t>年版）</w:t>
      </w:r>
    </w:p>
    <w:p>
      <w:pPr>
        <w:spacing w:line="275" w:lineRule="auto"/>
        <w:rPr>
          <w:rFonts w:ascii="Arial"/>
          <w:sz w:val="21"/>
        </w:rPr>
      </w:pPr>
    </w:p>
    <w:p>
      <w:pPr>
        <w:pStyle w:val="2"/>
        <w:spacing w:before="91" w:line="219" w:lineRule="auto"/>
        <w:outlineLvl w:val="0"/>
        <w:rPr>
          <w:rFonts w:hint="eastAsia" w:ascii="黑体" w:hAnsi="黑体" w:eastAsia="黑体" w:cs="黑体"/>
          <w:color w:val="auto"/>
          <w:spacing w:val="-1"/>
          <w:sz w:val="20"/>
          <w:szCs w:val="20"/>
          <w:lang w:eastAsia="zh-CN"/>
        </w:rPr>
      </w:pPr>
      <w:r>
        <w:rPr>
          <w:rFonts w:hint="eastAsia" w:ascii="黑体" w:hAnsi="黑体" w:eastAsia="黑体" w:cs="黑体"/>
          <w:color w:val="auto"/>
          <w:spacing w:val="-1"/>
          <w:sz w:val="20"/>
          <w:szCs w:val="20"/>
          <w:lang w:eastAsia="zh-CN"/>
        </w:rPr>
        <w:t>1 抽样</w:t>
      </w:r>
    </w:p>
    <w:p>
      <w:pPr>
        <w:pStyle w:val="2"/>
        <w:spacing w:before="53" w:line="240" w:lineRule="auto"/>
        <w:ind w:left="80"/>
      </w:pPr>
      <w:r>
        <w:rPr>
          <w:spacing w:val="3"/>
        </w:rPr>
        <w:t>1.1</w:t>
      </w:r>
      <w:r>
        <w:rPr>
          <w:spacing w:val="-41"/>
        </w:rPr>
        <w:t xml:space="preserve"> </w:t>
      </w:r>
      <w:r>
        <w:rPr>
          <w:spacing w:val="3"/>
        </w:rPr>
        <w:t>抽样方法</w:t>
      </w:r>
    </w:p>
    <w:p>
      <w:pPr>
        <w:pStyle w:val="2"/>
        <w:spacing w:before="146" w:line="240" w:lineRule="auto"/>
        <w:ind w:left="508"/>
      </w:pPr>
      <w:r>
        <w:rPr>
          <w:spacing w:val="8"/>
        </w:rPr>
        <w:t>以随机抽样的方式在被抽样</w:t>
      </w:r>
      <w:bookmarkStart w:id="0" w:name="_GoBack"/>
      <w:bookmarkEnd w:id="0"/>
      <w:r>
        <w:rPr>
          <w:spacing w:val="8"/>
        </w:rPr>
        <w:t>销售者的待销产品中抽取。</w:t>
      </w:r>
    </w:p>
    <w:p>
      <w:pPr>
        <w:pStyle w:val="2"/>
        <w:spacing w:before="169" w:line="240" w:lineRule="auto"/>
        <w:ind w:left="80"/>
      </w:pPr>
      <w:r>
        <w:rPr>
          <w:spacing w:val="3"/>
        </w:rPr>
        <w:t>1.2</w:t>
      </w:r>
      <w:r>
        <w:rPr>
          <w:spacing w:val="-41"/>
        </w:rPr>
        <w:t xml:space="preserve"> </w:t>
      </w:r>
      <w:r>
        <w:rPr>
          <w:spacing w:val="3"/>
        </w:rPr>
        <w:t>抽样基数</w:t>
      </w:r>
    </w:p>
    <w:p>
      <w:pPr>
        <w:pStyle w:val="2"/>
        <w:spacing w:before="146" w:line="240" w:lineRule="auto"/>
        <w:ind w:left="508"/>
        <w:rPr>
          <w:spacing w:val="8"/>
        </w:rPr>
      </w:pPr>
      <w:r>
        <w:rPr>
          <w:spacing w:val="8"/>
        </w:rPr>
        <w:t>抽查样品基数满足抽样数量即可。</w:t>
      </w:r>
    </w:p>
    <w:p>
      <w:pPr>
        <w:pStyle w:val="2"/>
        <w:spacing w:before="149" w:line="240" w:lineRule="auto"/>
        <w:ind w:left="80"/>
      </w:pPr>
      <w:r>
        <w:rPr>
          <w:spacing w:val="3"/>
        </w:rPr>
        <w:t>1.</w:t>
      </w:r>
      <w:r>
        <w:rPr>
          <w:rFonts w:hint="eastAsia"/>
          <w:spacing w:val="3"/>
          <w:lang w:val="en-US" w:eastAsia="zh-CN"/>
        </w:rPr>
        <w:t>3</w:t>
      </w:r>
      <w:r>
        <w:rPr>
          <w:spacing w:val="-41"/>
        </w:rPr>
        <w:t xml:space="preserve"> </w:t>
      </w:r>
      <w:r>
        <w:rPr>
          <w:spacing w:val="3"/>
        </w:rPr>
        <w:t>抽样数量</w:t>
      </w:r>
    </w:p>
    <w:p>
      <w:pPr>
        <w:pStyle w:val="2"/>
        <w:spacing w:before="147" w:line="240" w:lineRule="auto"/>
        <w:ind w:left="80"/>
      </w:pPr>
      <w:r>
        <w:rPr>
          <w:spacing w:val="3"/>
        </w:rPr>
        <w:t>1.</w:t>
      </w:r>
      <w:r>
        <w:rPr>
          <w:rFonts w:hint="eastAsia"/>
          <w:spacing w:val="3"/>
          <w:lang w:val="en-US" w:eastAsia="zh-CN"/>
        </w:rPr>
        <w:t>3</w:t>
      </w:r>
      <w:r>
        <w:rPr>
          <w:spacing w:val="3"/>
        </w:rPr>
        <w:t>.1</w:t>
      </w:r>
      <w:r>
        <w:rPr>
          <w:spacing w:val="-38"/>
        </w:rPr>
        <w:t xml:space="preserve"> </w:t>
      </w:r>
      <w:r>
        <w:rPr>
          <w:spacing w:val="3"/>
        </w:rPr>
        <w:t>生产领域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50" w:line="360" w:lineRule="auto"/>
        <w:ind w:left="0" w:firstLine="432" w:firstLineChars="200"/>
        <w:textAlignment w:val="baseline"/>
        <w:rPr>
          <w:spacing w:val="8"/>
        </w:rPr>
      </w:pPr>
      <w:r>
        <w:rPr>
          <w:spacing w:val="8"/>
        </w:rPr>
        <w:t>每袋取出不少于 100g样品，每批产品采取的总样品量不得少于2kg。将采集的样品迅速充分混匀</w:t>
      </w:r>
      <w:r>
        <w:rPr>
          <w:rFonts w:hint="eastAsia"/>
          <w:spacing w:val="8"/>
          <w:lang w:eastAsia="zh-CN"/>
        </w:rPr>
        <w:t>，</w:t>
      </w:r>
      <w:r>
        <w:rPr>
          <w:spacing w:val="8"/>
        </w:rPr>
        <w:t>用分样器缩分至不少于1.0kg，分装在 2 个清洁干燥的 500mL 塑料瓶中，每瓶不少于 500g，分别密封并加贴标识。一瓶作为检验样品，一瓶作为备用样品。</w:t>
      </w:r>
    </w:p>
    <w:p>
      <w:pPr>
        <w:pStyle w:val="2"/>
        <w:spacing w:before="161" w:line="240" w:lineRule="auto"/>
        <w:ind w:left="80"/>
      </w:pPr>
      <w:r>
        <w:rPr>
          <w:spacing w:val="3"/>
        </w:rPr>
        <w:t>1.</w:t>
      </w:r>
      <w:r>
        <w:rPr>
          <w:rFonts w:hint="eastAsia"/>
          <w:spacing w:val="3"/>
          <w:lang w:val="en-US" w:eastAsia="zh-CN"/>
        </w:rPr>
        <w:t>3</w:t>
      </w:r>
      <w:r>
        <w:rPr>
          <w:spacing w:val="3"/>
        </w:rPr>
        <w:t>.2</w:t>
      </w:r>
      <w:r>
        <w:rPr>
          <w:spacing w:val="-38"/>
        </w:rPr>
        <w:t xml:space="preserve"> </w:t>
      </w:r>
      <w:r>
        <w:rPr>
          <w:spacing w:val="3"/>
        </w:rPr>
        <w:t>流通领域</w:t>
      </w:r>
    </w:p>
    <w:p>
      <w:pPr>
        <w:pStyle w:val="2"/>
        <w:spacing w:before="160" w:line="360" w:lineRule="auto"/>
        <w:ind w:left="74" w:right="58" w:firstLine="412"/>
        <w:jc w:val="both"/>
      </w:pPr>
      <w:r>
        <w:rPr>
          <w:spacing w:val="9"/>
        </w:rPr>
        <w:t>从至少1</w:t>
      </w:r>
      <w:r>
        <w:rPr>
          <w:spacing w:val="-38"/>
        </w:rPr>
        <w:t xml:space="preserve"> </w:t>
      </w:r>
      <w:r>
        <w:rPr>
          <w:spacing w:val="9"/>
        </w:rPr>
        <w:t>袋中取出不少于</w:t>
      </w:r>
      <w:r>
        <w:rPr>
          <w:spacing w:val="-34"/>
        </w:rPr>
        <w:t xml:space="preserve"> </w:t>
      </w:r>
      <w:r>
        <w:rPr>
          <w:spacing w:val="9"/>
        </w:rPr>
        <w:t>2</w:t>
      </w:r>
      <w:r>
        <w:t>kg</w:t>
      </w:r>
      <w:r>
        <w:rPr>
          <w:spacing w:val="9"/>
        </w:rPr>
        <w:t>样品</w:t>
      </w:r>
      <w:r>
        <w:rPr>
          <w:spacing w:val="8"/>
        </w:rPr>
        <w:t>，充分混匀后用用分样器缩分至</w:t>
      </w:r>
      <w:r>
        <w:rPr>
          <w:spacing w:val="7"/>
        </w:rPr>
        <w:t>不少于</w:t>
      </w:r>
      <w:r>
        <w:rPr>
          <w:spacing w:val="-22"/>
        </w:rPr>
        <w:t xml:space="preserve"> </w:t>
      </w:r>
      <w:r>
        <w:rPr>
          <w:spacing w:val="7"/>
        </w:rPr>
        <w:t>1.0</w:t>
      </w:r>
      <w:r>
        <w:t>kg</w:t>
      </w:r>
      <w:r>
        <w:rPr>
          <w:spacing w:val="7"/>
        </w:rPr>
        <w:t>，分装</w:t>
      </w:r>
      <w:r>
        <w:rPr>
          <w:spacing w:val="9"/>
        </w:rPr>
        <w:t>在</w:t>
      </w:r>
      <w:r>
        <w:rPr>
          <w:spacing w:val="-32"/>
        </w:rPr>
        <w:t xml:space="preserve"> </w:t>
      </w:r>
      <w:r>
        <w:rPr>
          <w:spacing w:val="9"/>
        </w:rPr>
        <w:t>2</w:t>
      </w:r>
      <w:r>
        <w:rPr>
          <w:spacing w:val="-38"/>
        </w:rPr>
        <w:t xml:space="preserve"> </w:t>
      </w:r>
      <w:r>
        <w:rPr>
          <w:spacing w:val="9"/>
        </w:rPr>
        <w:t>个清洁干燥的</w:t>
      </w:r>
      <w:r>
        <w:rPr>
          <w:spacing w:val="-33"/>
        </w:rPr>
        <w:t xml:space="preserve"> </w:t>
      </w:r>
      <w:r>
        <w:rPr>
          <w:spacing w:val="9"/>
        </w:rPr>
        <w:t>500</w:t>
      </w:r>
      <w:r>
        <w:t>mL</w:t>
      </w:r>
      <w:r>
        <w:rPr>
          <w:spacing w:val="-33"/>
        </w:rPr>
        <w:t xml:space="preserve"> </w:t>
      </w:r>
      <w:r>
        <w:rPr>
          <w:spacing w:val="9"/>
        </w:rPr>
        <w:t>塑料瓶中，每瓶不少于</w:t>
      </w:r>
      <w:r>
        <w:rPr>
          <w:spacing w:val="-33"/>
        </w:rPr>
        <w:t xml:space="preserve"> </w:t>
      </w:r>
      <w:r>
        <w:rPr>
          <w:spacing w:val="9"/>
        </w:rPr>
        <w:t>500g，分别密封并加贴标识。一瓶作为检</w:t>
      </w:r>
      <w:r>
        <w:rPr>
          <w:spacing w:val="8"/>
        </w:rPr>
        <w:t>验样品，一瓶作为备用样品。</w:t>
      </w:r>
    </w:p>
    <w:p>
      <w:pPr>
        <w:pStyle w:val="2"/>
        <w:spacing w:before="91" w:line="219" w:lineRule="auto"/>
        <w:outlineLvl w:val="0"/>
        <w:rPr>
          <w:rFonts w:hint="eastAsia" w:ascii="黑体" w:hAnsi="黑体" w:eastAsia="黑体" w:cs="黑体"/>
          <w:color w:val="auto"/>
          <w:spacing w:val="-1"/>
          <w:sz w:val="20"/>
          <w:szCs w:val="20"/>
          <w:lang w:eastAsia="zh-CN"/>
        </w:rPr>
      </w:pPr>
      <w:r>
        <w:rPr>
          <w:rFonts w:hint="eastAsia" w:ascii="黑体" w:hAnsi="黑体" w:eastAsia="黑体" w:cs="黑体"/>
          <w:color w:val="auto"/>
          <w:spacing w:val="-1"/>
          <w:sz w:val="20"/>
          <w:szCs w:val="20"/>
          <w:lang w:eastAsia="zh-CN"/>
        </w:rPr>
        <w:t>2 检验项目及检测方法</w:t>
      </w:r>
    </w:p>
    <w:p>
      <w:pPr>
        <w:pStyle w:val="2"/>
        <w:spacing w:before="65" w:line="227" w:lineRule="auto"/>
        <w:ind w:left="2761"/>
      </w:pPr>
      <w:r>
        <w:rPr>
          <w:b/>
          <w:bCs/>
          <w:spacing w:val="6"/>
        </w:rPr>
        <w:t>表</w:t>
      </w:r>
      <w:r>
        <w:rPr>
          <w:b/>
          <w:bCs/>
          <w:spacing w:val="-34"/>
        </w:rPr>
        <w:t xml:space="preserve"> </w:t>
      </w:r>
      <w:r>
        <w:rPr>
          <w:rFonts w:hint="eastAsia"/>
          <w:b/>
          <w:bCs/>
          <w:spacing w:val="-34"/>
          <w:lang w:val="en-US" w:eastAsia="zh-CN"/>
        </w:rPr>
        <w:t xml:space="preserve">1 </w:t>
      </w:r>
      <w:r>
        <w:rPr>
          <w:rFonts w:hint="eastAsia"/>
          <w:spacing w:val="-34"/>
          <w:lang w:val="en-US" w:eastAsia="zh-CN"/>
        </w:rPr>
        <w:t xml:space="preserve">  </w:t>
      </w:r>
      <w:r>
        <w:rPr>
          <w:spacing w:val="6"/>
        </w:rPr>
        <w:t xml:space="preserve"> </w:t>
      </w:r>
      <w:r>
        <w:rPr>
          <w:b/>
          <w:bCs/>
          <w:spacing w:val="6"/>
        </w:rPr>
        <w:t>复合肥料产品检验项目</w:t>
      </w:r>
    </w:p>
    <w:p>
      <w:pPr>
        <w:spacing w:line="16" w:lineRule="exact"/>
      </w:pPr>
    </w:p>
    <w:tbl>
      <w:tblPr>
        <w:tblStyle w:val="5"/>
        <w:tblW w:w="841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73"/>
        <w:gridCol w:w="3447"/>
        <w:gridCol w:w="379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 w:hRule="atLeast"/>
        </w:trPr>
        <w:tc>
          <w:tcPr>
            <w:tcW w:w="1173" w:type="dxa"/>
            <w:vAlign w:val="top"/>
          </w:tcPr>
          <w:p>
            <w:pPr>
              <w:pStyle w:val="6"/>
              <w:spacing w:before="216" w:line="229" w:lineRule="auto"/>
              <w:ind w:left="380"/>
            </w:pPr>
            <w:r>
              <w:rPr>
                <w:spacing w:val="5"/>
              </w:rPr>
              <w:t>序号</w:t>
            </w:r>
          </w:p>
        </w:tc>
        <w:tc>
          <w:tcPr>
            <w:tcW w:w="3447" w:type="dxa"/>
            <w:vAlign w:val="top"/>
          </w:tcPr>
          <w:p>
            <w:pPr>
              <w:pStyle w:val="6"/>
              <w:spacing w:before="215" w:line="228" w:lineRule="auto"/>
              <w:ind w:left="1308"/>
            </w:pPr>
            <w:r>
              <w:rPr>
                <w:spacing w:val="7"/>
              </w:rPr>
              <w:t>检验项目</w:t>
            </w:r>
          </w:p>
        </w:tc>
        <w:tc>
          <w:tcPr>
            <w:tcW w:w="3798" w:type="dxa"/>
            <w:vAlign w:val="top"/>
          </w:tcPr>
          <w:p>
            <w:pPr>
              <w:pStyle w:val="6"/>
              <w:spacing w:before="215" w:line="228" w:lineRule="auto"/>
              <w:ind w:left="1273"/>
            </w:pPr>
            <w:r>
              <w:rPr>
                <w:spacing w:val="8"/>
              </w:rPr>
              <w:t>检验方法标准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1173" w:type="dxa"/>
            <w:vAlign w:val="center"/>
          </w:tcPr>
          <w:p>
            <w:pPr>
              <w:pStyle w:val="6"/>
              <w:spacing w:before="65" w:line="189" w:lineRule="auto"/>
              <w:ind w:left="555"/>
            </w:pPr>
            <w:r>
              <w:t>1</w:t>
            </w:r>
          </w:p>
        </w:tc>
        <w:tc>
          <w:tcPr>
            <w:tcW w:w="3447" w:type="dxa"/>
            <w:vAlign w:val="center"/>
          </w:tcPr>
          <w:p>
            <w:pPr>
              <w:pStyle w:val="6"/>
              <w:spacing w:before="65" w:line="227" w:lineRule="auto"/>
              <w:jc w:val="center"/>
            </w:pPr>
            <w:r>
              <w:rPr>
                <w:spacing w:val="8"/>
              </w:rPr>
              <w:t>总氮（</w:t>
            </w:r>
            <w:r>
              <w:rPr>
                <w:rFonts w:ascii="Calibri" w:hAnsi="Calibri" w:eastAsia="Calibri" w:cs="Calibri"/>
                <w:spacing w:val="8"/>
              </w:rPr>
              <w:t>N</w:t>
            </w:r>
            <w:r>
              <w:rPr>
                <w:spacing w:val="8"/>
              </w:rPr>
              <w:t>）的质量分数</w:t>
            </w:r>
          </w:p>
        </w:tc>
        <w:tc>
          <w:tcPr>
            <w:tcW w:w="3798" w:type="dxa"/>
            <w:vAlign w:val="center"/>
          </w:tcPr>
          <w:p>
            <w:pPr>
              <w:pStyle w:val="6"/>
              <w:spacing w:before="54" w:line="312" w:lineRule="exact"/>
              <w:jc w:val="center"/>
            </w:pPr>
            <w:r>
              <w:rPr>
                <w:position w:val="7"/>
              </w:rPr>
              <w:t>GB</w:t>
            </w:r>
            <w:r>
              <w:rPr>
                <w:spacing w:val="4"/>
                <w:position w:val="7"/>
              </w:rPr>
              <w:t>/T</w:t>
            </w:r>
            <w:r>
              <w:rPr>
                <w:spacing w:val="16"/>
                <w:position w:val="7"/>
              </w:rPr>
              <w:t xml:space="preserve"> </w:t>
            </w:r>
            <w:r>
              <w:rPr>
                <w:spacing w:val="4"/>
                <w:position w:val="7"/>
              </w:rPr>
              <w:t>8572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exact"/>
        </w:trPr>
        <w:tc>
          <w:tcPr>
            <w:tcW w:w="1173" w:type="dxa"/>
            <w:vAlign w:val="center"/>
          </w:tcPr>
          <w:p>
            <w:pPr>
              <w:pStyle w:val="6"/>
              <w:spacing w:before="65" w:line="189" w:lineRule="auto"/>
              <w:ind w:left="542"/>
            </w:pPr>
            <w:r>
              <w:t>2</w:t>
            </w:r>
          </w:p>
        </w:tc>
        <w:tc>
          <w:tcPr>
            <w:tcW w:w="3447" w:type="dxa"/>
            <w:vAlign w:val="center"/>
          </w:tcPr>
          <w:p>
            <w:pPr>
              <w:pStyle w:val="6"/>
              <w:spacing w:before="65" w:line="228" w:lineRule="auto"/>
              <w:jc w:val="center"/>
            </w:pPr>
            <w:r>
              <w:rPr>
                <w:spacing w:val="5"/>
              </w:rPr>
              <w:t>有效磷（</w:t>
            </w:r>
            <w:r>
              <w:rPr>
                <w:rFonts w:ascii="Calibri" w:hAnsi="Calibri" w:eastAsia="Calibri" w:cs="Calibri"/>
                <w:spacing w:val="5"/>
              </w:rPr>
              <w:t>P</w:t>
            </w:r>
            <w:r>
              <w:rPr>
                <w:rFonts w:ascii="Calibri" w:hAnsi="Calibri" w:eastAsia="Calibri" w:cs="Calibri"/>
                <w:spacing w:val="5"/>
                <w:position w:val="-1"/>
                <w:sz w:val="13"/>
                <w:szCs w:val="13"/>
              </w:rPr>
              <w:t>2</w:t>
            </w:r>
            <w:r>
              <w:rPr>
                <w:rFonts w:ascii="Calibri" w:hAnsi="Calibri" w:eastAsia="Calibri" w:cs="Calibri"/>
                <w:spacing w:val="5"/>
              </w:rPr>
              <w:t>O</w:t>
            </w:r>
            <w:r>
              <w:rPr>
                <w:rFonts w:ascii="Calibri" w:hAnsi="Calibri" w:eastAsia="Calibri" w:cs="Calibri"/>
                <w:spacing w:val="5"/>
                <w:position w:val="-1"/>
                <w:sz w:val="13"/>
                <w:szCs w:val="13"/>
              </w:rPr>
              <w:t xml:space="preserve">5 </w:t>
            </w:r>
            <w:r>
              <w:rPr>
                <w:spacing w:val="5"/>
              </w:rPr>
              <w:t>）的质量分数</w:t>
            </w:r>
          </w:p>
        </w:tc>
        <w:tc>
          <w:tcPr>
            <w:tcW w:w="3798" w:type="dxa"/>
            <w:vAlign w:val="center"/>
          </w:tcPr>
          <w:p>
            <w:pPr>
              <w:pStyle w:val="6"/>
              <w:spacing w:before="55" w:line="312" w:lineRule="exact"/>
              <w:jc w:val="center"/>
              <w:rPr>
                <w:rFonts w:hint="eastAsia"/>
                <w:spacing w:val="4"/>
                <w:position w:val="7"/>
                <w:lang w:val="en-US" w:eastAsia="zh-CN"/>
              </w:rPr>
            </w:pPr>
            <w:r>
              <w:rPr>
                <w:position w:val="7"/>
              </w:rPr>
              <w:t>GB</w:t>
            </w:r>
            <w:r>
              <w:rPr>
                <w:spacing w:val="4"/>
                <w:position w:val="7"/>
              </w:rPr>
              <w:t>/T</w:t>
            </w:r>
            <w:r>
              <w:rPr>
                <w:spacing w:val="16"/>
                <w:position w:val="7"/>
              </w:rPr>
              <w:t xml:space="preserve"> </w:t>
            </w:r>
            <w:r>
              <w:rPr>
                <w:rFonts w:hint="eastAsia"/>
                <w:spacing w:val="4"/>
                <w:position w:val="7"/>
                <w:lang w:val="en-US" w:eastAsia="zh-CN"/>
              </w:rPr>
              <w:t>15063附录A</w:t>
            </w:r>
          </w:p>
          <w:p>
            <w:pPr>
              <w:pStyle w:val="6"/>
              <w:spacing w:before="55" w:line="312" w:lineRule="exact"/>
              <w:jc w:val="center"/>
              <w:rPr>
                <w:rFonts w:hint="default"/>
                <w:spacing w:val="4"/>
                <w:position w:val="7"/>
                <w:lang w:val="en-US" w:eastAsia="zh-CN"/>
              </w:rPr>
            </w:pPr>
            <w:r>
              <w:rPr>
                <w:rFonts w:hint="eastAsia"/>
                <w:spacing w:val="4"/>
                <w:position w:val="7"/>
                <w:lang w:val="en-US" w:eastAsia="zh-CN"/>
              </w:rPr>
              <w:t>GB/T 8573</w:t>
            </w:r>
          </w:p>
          <w:p>
            <w:pPr>
              <w:pStyle w:val="6"/>
              <w:spacing w:before="59" w:line="233" w:lineRule="auto"/>
              <w:ind w:left="1377"/>
              <w:jc w:val="center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1173" w:type="dxa"/>
            <w:vAlign w:val="center"/>
          </w:tcPr>
          <w:p>
            <w:pPr>
              <w:pStyle w:val="6"/>
              <w:spacing w:before="65" w:line="189" w:lineRule="auto"/>
              <w:ind w:left="542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447" w:type="dxa"/>
            <w:vAlign w:val="center"/>
          </w:tcPr>
          <w:p>
            <w:pPr>
              <w:pStyle w:val="6"/>
              <w:spacing w:before="65" w:line="228" w:lineRule="auto"/>
              <w:jc w:val="center"/>
              <w:rPr>
                <w:spacing w:val="5"/>
              </w:rPr>
            </w:pPr>
            <w:r>
              <w:rPr>
                <w:spacing w:val="7"/>
              </w:rPr>
              <w:t>氧化钾（</w:t>
            </w:r>
            <w:r>
              <w:rPr>
                <w:rFonts w:ascii="Calibri" w:hAnsi="Calibri" w:eastAsia="Calibri" w:cs="Calibri"/>
                <w:spacing w:val="7"/>
              </w:rPr>
              <w:t>K</w:t>
            </w:r>
            <w:r>
              <w:rPr>
                <w:rFonts w:ascii="Calibri" w:hAnsi="Calibri" w:eastAsia="Calibri" w:cs="Calibri"/>
                <w:spacing w:val="7"/>
                <w:position w:val="-1"/>
                <w:sz w:val="13"/>
                <w:szCs w:val="13"/>
              </w:rPr>
              <w:t>2</w:t>
            </w:r>
            <w:r>
              <w:rPr>
                <w:rFonts w:ascii="Calibri" w:hAnsi="Calibri" w:eastAsia="Calibri" w:cs="Calibri"/>
                <w:spacing w:val="7"/>
              </w:rPr>
              <w:t>O</w:t>
            </w:r>
            <w:r>
              <w:rPr>
                <w:spacing w:val="7"/>
              </w:rPr>
              <w:t>）的质量分数</w:t>
            </w:r>
          </w:p>
        </w:tc>
        <w:tc>
          <w:tcPr>
            <w:tcW w:w="3798" w:type="dxa"/>
            <w:vAlign w:val="center"/>
          </w:tcPr>
          <w:p>
            <w:pPr>
              <w:pStyle w:val="6"/>
              <w:spacing w:before="56" w:line="312" w:lineRule="exact"/>
              <w:jc w:val="center"/>
            </w:pPr>
            <w:r>
              <w:rPr>
                <w:position w:val="7"/>
              </w:rPr>
              <w:t>GB</w:t>
            </w:r>
            <w:r>
              <w:rPr>
                <w:spacing w:val="4"/>
                <w:position w:val="7"/>
              </w:rPr>
              <w:t>/T</w:t>
            </w:r>
            <w:r>
              <w:rPr>
                <w:spacing w:val="16"/>
                <w:position w:val="7"/>
              </w:rPr>
              <w:t xml:space="preserve"> </w:t>
            </w:r>
            <w:r>
              <w:rPr>
                <w:spacing w:val="4"/>
                <w:position w:val="7"/>
              </w:rPr>
              <w:t>8574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1173" w:type="dxa"/>
            <w:vAlign w:val="center"/>
          </w:tcPr>
          <w:p>
            <w:pPr>
              <w:pStyle w:val="6"/>
              <w:spacing w:before="65" w:line="189" w:lineRule="auto"/>
              <w:ind w:left="542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447" w:type="dxa"/>
            <w:vAlign w:val="center"/>
          </w:tcPr>
          <w:p>
            <w:pPr>
              <w:pStyle w:val="6"/>
              <w:spacing w:before="65" w:line="228" w:lineRule="auto"/>
              <w:jc w:val="center"/>
              <w:rPr>
                <w:spacing w:val="5"/>
              </w:rPr>
            </w:pPr>
            <w:r>
              <w:rPr>
                <w:spacing w:val="6"/>
              </w:rPr>
              <w:t>总养分（</w:t>
            </w:r>
            <w:r>
              <w:rPr>
                <w:rFonts w:ascii="Calibri" w:hAnsi="Calibri" w:eastAsia="Calibri" w:cs="Calibri"/>
                <w:spacing w:val="6"/>
              </w:rPr>
              <w:t>N+P</w:t>
            </w:r>
            <w:r>
              <w:rPr>
                <w:rFonts w:ascii="Calibri" w:hAnsi="Calibri" w:eastAsia="Calibri" w:cs="Calibri"/>
                <w:spacing w:val="6"/>
                <w:position w:val="-1"/>
                <w:sz w:val="13"/>
                <w:szCs w:val="13"/>
              </w:rPr>
              <w:t>2</w:t>
            </w:r>
            <w:r>
              <w:rPr>
                <w:rFonts w:ascii="Calibri" w:hAnsi="Calibri" w:eastAsia="Calibri" w:cs="Calibri"/>
                <w:spacing w:val="6"/>
              </w:rPr>
              <w:t>O</w:t>
            </w:r>
            <w:r>
              <w:rPr>
                <w:rFonts w:ascii="Calibri" w:hAnsi="Calibri" w:eastAsia="Calibri" w:cs="Calibri"/>
                <w:spacing w:val="6"/>
                <w:position w:val="-1"/>
                <w:sz w:val="13"/>
                <w:szCs w:val="13"/>
              </w:rPr>
              <w:t>5</w:t>
            </w:r>
            <w:r>
              <w:rPr>
                <w:rFonts w:ascii="Calibri" w:hAnsi="Calibri" w:eastAsia="Calibri" w:cs="Calibri"/>
                <w:spacing w:val="6"/>
              </w:rPr>
              <w:t>+K</w:t>
            </w:r>
            <w:r>
              <w:rPr>
                <w:rFonts w:ascii="Calibri" w:hAnsi="Calibri" w:eastAsia="Calibri" w:cs="Calibri"/>
                <w:spacing w:val="6"/>
                <w:position w:val="-1"/>
                <w:sz w:val="13"/>
                <w:szCs w:val="13"/>
              </w:rPr>
              <w:t>2</w:t>
            </w:r>
            <w:r>
              <w:rPr>
                <w:rFonts w:ascii="Calibri" w:hAnsi="Calibri" w:eastAsia="Calibri" w:cs="Calibri"/>
                <w:spacing w:val="6"/>
              </w:rPr>
              <w:t>O</w:t>
            </w:r>
            <w:r>
              <w:rPr>
                <w:spacing w:val="6"/>
              </w:rPr>
              <w:t>）的质量分数</w:t>
            </w:r>
          </w:p>
        </w:tc>
        <w:tc>
          <w:tcPr>
            <w:tcW w:w="3798" w:type="dxa"/>
            <w:vAlign w:val="center"/>
          </w:tcPr>
          <w:p>
            <w:pPr>
              <w:pStyle w:val="6"/>
              <w:spacing w:before="59" w:line="233" w:lineRule="auto"/>
              <w:jc w:val="center"/>
            </w:pPr>
            <w:r>
              <w:rPr>
                <w:position w:val="7"/>
              </w:rPr>
              <w:t>GB</w:t>
            </w:r>
            <w:r>
              <w:rPr>
                <w:spacing w:val="4"/>
                <w:position w:val="7"/>
              </w:rPr>
              <w:t>/T</w:t>
            </w:r>
            <w:r>
              <w:rPr>
                <w:spacing w:val="16"/>
                <w:position w:val="7"/>
              </w:rPr>
              <w:t xml:space="preserve"> </w:t>
            </w:r>
            <w:r>
              <w:rPr>
                <w:rFonts w:hint="eastAsia"/>
                <w:spacing w:val="4"/>
                <w:position w:val="7"/>
                <w:lang w:val="en-US" w:eastAsia="zh-CN"/>
              </w:rPr>
              <w:t>15063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1173" w:type="dxa"/>
            <w:vAlign w:val="center"/>
          </w:tcPr>
          <w:p>
            <w:pPr>
              <w:pStyle w:val="6"/>
              <w:spacing w:before="65" w:line="189" w:lineRule="auto"/>
              <w:ind w:left="542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447" w:type="dxa"/>
            <w:vAlign w:val="center"/>
          </w:tcPr>
          <w:p>
            <w:pPr>
              <w:pStyle w:val="6"/>
              <w:spacing w:before="65" w:line="228" w:lineRule="auto"/>
              <w:jc w:val="center"/>
              <w:rPr>
                <w:spacing w:val="6"/>
              </w:rPr>
            </w:pPr>
            <w:r>
              <w:rPr>
                <w:spacing w:val="8"/>
              </w:rPr>
              <w:t>氯离子的质量分数</w:t>
            </w:r>
          </w:p>
        </w:tc>
        <w:tc>
          <w:tcPr>
            <w:tcW w:w="3798" w:type="dxa"/>
            <w:vAlign w:val="center"/>
          </w:tcPr>
          <w:p>
            <w:pPr>
              <w:pStyle w:val="6"/>
              <w:spacing w:before="59" w:line="233" w:lineRule="auto"/>
              <w:jc w:val="center"/>
              <w:rPr>
                <w:position w:val="7"/>
              </w:rPr>
            </w:pPr>
            <w:r>
              <w:t>GB</w:t>
            </w:r>
            <w:r>
              <w:rPr>
                <w:spacing w:val="3"/>
              </w:rPr>
              <w:t>/T</w:t>
            </w:r>
            <w:r>
              <w:rPr>
                <w:spacing w:val="20"/>
              </w:rPr>
              <w:t xml:space="preserve"> </w:t>
            </w:r>
            <w:r>
              <w:rPr>
                <w:spacing w:val="3"/>
              </w:rPr>
              <w:t>24890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exact"/>
        </w:trPr>
        <w:tc>
          <w:tcPr>
            <w:tcW w:w="1173" w:type="dxa"/>
            <w:vAlign w:val="center"/>
          </w:tcPr>
          <w:p>
            <w:pPr>
              <w:pStyle w:val="6"/>
              <w:spacing w:before="65" w:line="189" w:lineRule="auto"/>
              <w:ind w:left="542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447" w:type="dxa"/>
            <w:vAlign w:val="center"/>
          </w:tcPr>
          <w:p>
            <w:pPr>
              <w:pStyle w:val="6"/>
              <w:spacing w:before="65" w:line="228" w:lineRule="auto"/>
              <w:jc w:val="center"/>
              <w:rPr>
                <w:spacing w:val="8"/>
              </w:rPr>
            </w:pPr>
            <w:r>
              <w:rPr>
                <w:spacing w:val="8"/>
              </w:rPr>
              <w:t>水溶性磷占有效磷百分率</w:t>
            </w:r>
          </w:p>
        </w:tc>
        <w:tc>
          <w:tcPr>
            <w:tcW w:w="3798" w:type="dxa"/>
            <w:vAlign w:val="center"/>
          </w:tcPr>
          <w:p>
            <w:pPr>
              <w:pStyle w:val="6"/>
              <w:spacing w:before="55" w:line="312" w:lineRule="exact"/>
              <w:jc w:val="center"/>
              <w:rPr>
                <w:rFonts w:hint="eastAsia"/>
                <w:spacing w:val="4"/>
                <w:position w:val="7"/>
                <w:lang w:val="en-US" w:eastAsia="zh-CN"/>
              </w:rPr>
            </w:pPr>
            <w:r>
              <w:rPr>
                <w:position w:val="7"/>
              </w:rPr>
              <w:t>GB</w:t>
            </w:r>
            <w:r>
              <w:rPr>
                <w:spacing w:val="4"/>
                <w:position w:val="7"/>
              </w:rPr>
              <w:t>/T</w:t>
            </w:r>
            <w:r>
              <w:rPr>
                <w:spacing w:val="16"/>
                <w:position w:val="7"/>
              </w:rPr>
              <w:t xml:space="preserve"> </w:t>
            </w:r>
            <w:r>
              <w:rPr>
                <w:rFonts w:hint="eastAsia"/>
                <w:spacing w:val="4"/>
                <w:position w:val="7"/>
                <w:lang w:val="en-US" w:eastAsia="zh-CN"/>
              </w:rPr>
              <w:t>15063附录A</w:t>
            </w:r>
          </w:p>
          <w:p>
            <w:pPr>
              <w:pStyle w:val="6"/>
              <w:spacing w:before="55" w:line="312" w:lineRule="exact"/>
              <w:jc w:val="center"/>
              <w:rPr>
                <w:rFonts w:hint="default"/>
                <w:spacing w:val="4"/>
                <w:position w:val="7"/>
                <w:lang w:val="en-US" w:eastAsia="zh-CN"/>
              </w:rPr>
            </w:pPr>
            <w:r>
              <w:rPr>
                <w:rFonts w:hint="eastAsia"/>
                <w:spacing w:val="4"/>
                <w:position w:val="7"/>
                <w:lang w:val="en-US" w:eastAsia="zh-CN"/>
              </w:rPr>
              <w:t>GB/T 8573</w:t>
            </w:r>
          </w:p>
          <w:p>
            <w:pPr>
              <w:pStyle w:val="6"/>
              <w:spacing w:before="55" w:line="312" w:lineRule="exact"/>
              <w:jc w:val="center"/>
              <w:rPr>
                <w:rFonts w:hint="eastAsia"/>
                <w:spacing w:val="4"/>
                <w:position w:val="7"/>
                <w:lang w:val="en-US" w:eastAsia="zh-CN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exact"/>
        </w:trPr>
        <w:tc>
          <w:tcPr>
            <w:tcW w:w="1173" w:type="dxa"/>
            <w:vAlign w:val="center"/>
          </w:tcPr>
          <w:p>
            <w:pPr>
              <w:pStyle w:val="6"/>
              <w:spacing w:before="65" w:line="189" w:lineRule="auto"/>
              <w:ind w:left="542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447" w:type="dxa"/>
            <w:vAlign w:val="center"/>
          </w:tcPr>
          <w:p>
            <w:pPr>
              <w:pStyle w:val="6"/>
              <w:spacing w:before="65" w:line="228" w:lineRule="auto"/>
              <w:jc w:val="center"/>
              <w:rPr>
                <w:spacing w:val="6"/>
              </w:rPr>
            </w:pPr>
            <w:r>
              <w:rPr>
                <w:spacing w:val="6"/>
              </w:rPr>
              <w:t>粒度</w:t>
            </w:r>
          </w:p>
          <w:p>
            <w:pPr>
              <w:pStyle w:val="6"/>
              <w:spacing w:before="65" w:line="228" w:lineRule="auto"/>
              <w:jc w:val="center"/>
              <w:rPr>
                <w:spacing w:val="8"/>
              </w:rPr>
            </w:pPr>
            <w:r>
              <w:rPr>
                <w:spacing w:val="6"/>
              </w:rPr>
              <w:t>（1.00～4.75</w:t>
            </w:r>
            <w:r>
              <w:t>mm</w:t>
            </w:r>
            <w:r>
              <w:rPr>
                <w:spacing w:val="-37"/>
              </w:rPr>
              <w:t xml:space="preserve"> </w:t>
            </w:r>
            <w:r>
              <w:rPr>
                <w:spacing w:val="6"/>
              </w:rPr>
              <w:t>或</w:t>
            </w:r>
            <w:r>
              <w:t xml:space="preserve"> </w:t>
            </w:r>
            <w:r>
              <w:rPr>
                <w:spacing w:val="4"/>
              </w:rPr>
              <w:t>3.35-5.60</w:t>
            </w:r>
            <w:r>
              <w:t>mm</w:t>
            </w:r>
            <w:r>
              <w:rPr>
                <w:spacing w:val="4"/>
              </w:rPr>
              <w:t>）</w:t>
            </w:r>
          </w:p>
        </w:tc>
        <w:tc>
          <w:tcPr>
            <w:tcW w:w="3798" w:type="dxa"/>
            <w:vAlign w:val="center"/>
          </w:tcPr>
          <w:p>
            <w:pPr>
              <w:pStyle w:val="6"/>
              <w:spacing w:before="59" w:line="233" w:lineRule="auto"/>
              <w:jc w:val="center"/>
            </w:pPr>
            <w:r>
              <w:t>GB</w:t>
            </w:r>
            <w:r>
              <w:rPr>
                <w:spacing w:val="5"/>
              </w:rPr>
              <w:t>/T</w:t>
            </w:r>
            <w:r>
              <w:rPr>
                <w:rFonts w:hint="eastAsia"/>
                <w:spacing w:val="5"/>
                <w:lang w:val="en-US" w:eastAsia="zh-CN"/>
              </w:rPr>
              <w:t xml:space="preserve"> </w:t>
            </w:r>
            <w:r>
              <w:rPr>
                <w:spacing w:val="5"/>
              </w:rPr>
              <w:t>24891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8418" w:type="dxa"/>
            <w:gridSpan w:val="3"/>
            <w:vAlign w:val="center"/>
          </w:tcPr>
          <w:p>
            <w:pPr>
              <w:pStyle w:val="6"/>
              <w:spacing w:before="56" w:line="312" w:lineRule="exact"/>
              <w:ind w:firstLine="200" w:firstLineChars="100"/>
              <w:jc w:val="left"/>
              <w:rPr>
                <w:rFonts w:hint="eastAsia" w:eastAsia="宋体"/>
                <w:position w:val="7"/>
                <w:lang w:val="en-US" w:eastAsia="zh-CN"/>
              </w:rPr>
            </w:pPr>
            <w:r>
              <w:rPr>
                <w:rFonts w:hint="eastAsia"/>
                <w:position w:val="7"/>
                <w:lang w:eastAsia="zh-CN"/>
              </w:rPr>
              <w:t>注：</w:t>
            </w:r>
            <w:r>
              <w:rPr>
                <w:rFonts w:hint="eastAsia"/>
                <w:position w:val="7"/>
                <w:lang w:val="en-US" w:eastAsia="zh-CN"/>
              </w:rPr>
              <w:t>a</w:t>
            </w:r>
            <w:r>
              <w:rPr>
                <w:rFonts w:hint="eastAsia"/>
                <w:position w:val="7"/>
                <w:lang w:eastAsia="zh-CN"/>
              </w:rPr>
              <w:t>包装容器上标明“含硝态氮”时检测本项目。</w:t>
            </w:r>
          </w:p>
        </w:tc>
      </w:tr>
    </w:tbl>
    <w:p>
      <w:pPr>
        <w:rPr>
          <w:rFonts w:ascii="Arial"/>
          <w:sz w:val="21"/>
        </w:rPr>
      </w:pPr>
    </w:p>
    <w:p>
      <w:pPr>
        <w:spacing w:line="91" w:lineRule="auto"/>
        <w:rPr>
          <w:rFonts w:ascii="Arial"/>
          <w:sz w:val="2"/>
        </w:rPr>
      </w:pPr>
    </w:p>
    <w:p>
      <w:pPr>
        <w:spacing w:line="91" w:lineRule="auto"/>
        <w:rPr>
          <w:rFonts w:ascii="Arial"/>
          <w:sz w:val="2"/>
        </w:rPr>
      </w:pPr>
    </w:p>
    <w:p>
      <w:pPr>
        <w:spacing w:line="91" w:lineRule="auto"/>
        <w:rPr>
          <w:rFonts w:ascii="Arial"/>
          <w:sz w:val="2"/>
        </w:rPr>
      </w:pP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jc w:val="right"/>
        <w:textAlignment w:val="baseline"/>
      </w:pPr>
      <w:r>
        <w:rPr>
          <w:spacing w:val="7"/>
          <w:position w:val="17"/>
        </w:rPr>
        <w:t>注：上表所列检验项目是有关法律法规、标准等规定的，重点涉</w:t>
      </w:r>
      <w:r>
        <w:rPr>
          <w:spacing w:val="6"/>
          <w:position w:val="17"/>
        </w:rPr>
        <w:t>及健康、安全、节能、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9"/>
        </w:rPr>
        <w:t>环保以及消费者、有关组织反映有质量问题的重要项目。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36" w:firstLineChars="200"/>
        <w:textAlignment w:val="baseline"/>
      </w:pPr>
      <w:r>
        <w:rPr>
          <w:spacing w:val="9"/>
        </w:rPr>
        <w:t>执行企业标准、团体标准、地方标准的产品，检验项目参照上述内容执行。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40" w:firstLineChars="200"/>
        <w:textAlignment w:val="baseline"/>
      </w:pPr>
      <w:r>
        <w:rPr>
          <w:spacing w:val="10"/>
          <w:position w:val="18"/>
        </w:rPr>
        <w:t>凡是注日期的文件，其随后所有的修改单（不包括勘误</w:t>
      </w:r>
      <w:r>
        <w:rPr>
          <w:spacing w:val="9"/>
          <w:position w:val="18"/>
        </w:rPr>
        <w:t>的内容）或修订版不适用于本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9"/>
        </w:rPr>
        <w:t>细则。凡是不注日期的文件，其最新版本适用于本细则。</w:t>
      </w:r>
    </w:p>
    <w:p>
      <w:pPr>
        <w:pStyle w:val="2"/>
        <w:spacing w:before="91" w:line="219" w:lineRule="auto"/>
        <w:outlineLvl w:val="0"/>
        <w:rPr>
          <w:rFonts w:hint="eastAsia" w:ascii="黑体" w:hAnsi="黑体" w:eastAsia="黑体" w:cs="黑体"/>
          <w:color w:val="auto"/>
          <w:spacing w:val="-1"/>
          <w:sz w:val="20"/>
          <w:szCs w:val="20"/>
          <w:lang w:eastAsia="zh-CN"/>
        </w:rPr>
      </w:pPr>
      <w:r>
        <w:rPr>
          <w:rFonts w:hint="eastAsia" w:ascii="黑体" w:hAnsi="黑体" w:eastAsia="黑体" w:cs="黑体"/>
          <w:color w:val="auto"/>
          <w:spacing w:val="-1"/>
          <w:sz w:val="20"/>
          <w:szCs w:val="20"/>
          <w:lang w:eastAsia="zh-CN"/>
        </w:rPr>
        <w:t>3 判定规则</w:t>
      </w:r>
    </w:p>
    <w:p>
      <w:pPr>
        <w:pStyle w:val="2"/>
        <w:spacing w:before="91" w:line="219" w:lineRule="auto"/>
        <w:outlineLvl w:val="0"/>
      </w:pPr>
      <w:r>
        <w:rPr>
          <w:spacing w:val="4"/>
        </w:rPr>
        <w:t>3.1</w:t>
      </w:r>
      <w:r>
        <w:rPr>
          <w:spacing w:val="-37"/>
        </w:rPr>
        <w:t xml:space="preserve"> </w:t>
      </w:r>
      <w:r>
        <w:rPr>
          <w:spacing w:val="4"/>
        </w:rPr>
        <w:t>标准依据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firstLine="400" w:firstLineChars="200"/>
        <w:textAlignment w:val="baseline"/>
        <w:rPr>
          <w:spacing w:val="3"/>
        </w:rPr>
      </w:pPr>
      <w:r>
        <w:t>GB</w:t>
      </w:r>
      <w:r>
        <w:rPr>
          <w:spacing w:val="3"/>
        </w:rPr>
        <w:t>/T</w:t>
      </w:r>
      <w:r>
        <w:rPr>
          <w:spacing w:val="32"/>
        </w:rPr>
        <w:t xml:space="preserve"> </w:t>
      </w:r>
      <w:r>
        <w:rPr>
          <w:spacing w:val="3"/>
        </w:rPr>
        <w:t>15063</w:t>
      </w:r>
      <w:r>
        <w:rPr>
          <w:spacing w:val="13"/>
        </w:rPr>
        <w:t xml:space="preserve">  </w:t>
      </w:r>
      <w:r>
        <w:rPr>
          <w:spacing w:val="3"/>
        </w:rPr>
        <w:t>复合肥料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firstLine="412" w:firstLineChars="200"/>
        <w:textAlignment w:val="baseline"/>
        <w:rPr>
          <w:rFonts w:hint="eastAsia"/>
          <w:spacing w:val="3"/>
        </w:rPr>
      </w:pPr>
      <w:r>
        <w:rPr>
          <w:rFonts w:hint="eastAsia"/>
          <w:spacing w:val="3"/>
          <w:lang w:val="en-US" w:eastAsia="zh-CN"/>
        </w:rPr>
        <w:t xml:space="preserve">GB/T 8572  </w:t>
      </w:r>
      <w:r>
        <w:rPr>
          <w:rFonts w:hint="eastAsia"/>
          <w:spacing w:val="3"/>
        </w:rPr>
        <w:t>复混肥料中总氮含量的测定 蒸馏后滴定法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firstLine="412" w:firstLineChars="200"/>
        <w:textAlignment w:val="baseline"/>
        <w:rPr>
          <w:rFonts w:hint="eastAsia"/>
          <w:spacing w:val="3"/>
        </w:rPr>
      </w:pPr>
      <w:r>
        <w:rPr>
          <w:rFonts w:hint="eastAsia"/>
          <w:spacing w:val="3"/>
          <w:lang w:val="en-US" w:eastAsia="zh-CN"/>
        </w:rPr>
        <w:t xml:space="preserve">GB/T 8573  </w:t>
      </w:r>
      <w:r>
        <w:rPr>
          <w:rFonts w:hint="eastAsia"/>
          <w:spacing w:val="3"/>
        </w:rPr>
        <w:t>复混肥料中有效磷含量的测定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firstLine="412" w:firstLineChars="200"/>
        <w:textAlignment w:val="baseline"/>
        <w:rPr>
          <w:rFonts w:hint="eastAsia"/>
          <w:spacing w:val="3"/>
        </w:rPr>
      </w:pPr>
      <w:r>
        <w:rPr>
          <w:rFonts w:hint="eastAsia"/>
          <w:spacing w:val="3"/>
          <w:lang w:val="en-US" w:eastAsia="zh-CN"/>
        </w:rPr>
        <w:t xml:space="preserve">GB/T 8574  </w:t>
      </w:r>
      <w:r>
        <w:rPr>
          <w:rFonts w:hint="eastAsia"/>
          <w:spacing w:val="3"/>
        </w:rPr>
        <w:t>复混肥料中钾含量的测定 四苯硼酸钾重量法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firstLine="412" w:firstLineChars="200"/>
        <w:textAlignment w:val="baseline"/>
        <w:rPr>
          <w:rFonts w:hint="default"/>
          <w:spacing w:val="3"/>
          <w:lang w:val="en-US" w:eastAsia="zh-CN"/>
        </w:rPr>
      </w:pPr>
      <w:r>
        <w:rPr>
          <w:rFonts w:hint="eastAsia"/>
          <w:spacing w:val="3"/>
          <w:lang w:val="en-US" w:eastAsia="zh-CN"/>
        </w:rPr>
        <w:t xml:space="preserve">GB/T 3597  </w:t>
      </w:r>
      <w:r>
        <w:rPr>
          <w:rFonts w:hint="eastAsia"/>
          <w:spacing w:val="3"/>
        </w:rPr>
        <w:t>肥料中硝态氮含量的测定氮试剂重量法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firstLine="412" w:firstLineChars="200"/>
        <w:textAlignment w:val="baseline"/>
        <w:rPr>
          <w:rFonts w:hint="eastAsia"/>
          <w:spacing w:val="3"/>
        </w:rPr>
      </w:pPr>
      <w:r>
        <w:rPr>
          <w:rFonts w:hint="eastAsia"/>
          <w:spacing w:val="3"/>
          <w:lang w:val="en-US" w:eastAsia="zh-CN"/>
        </w:rPr>
        <w:t xml:space="preserve">GB/T 24890 </w:t>
      </w:r>
      <w:r>
        <w:rPr>
          <w:rFonts w:hint="eastAsia"/>
          <w:spacing w:val="3"/>
        </w:rPr>
        <w:t>复混肥料中氯离子含量的测定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firstLine="412" w:firstLineChars="200"/>
        <w:textAlignment w:val="baseline"/>
        <w:rPr>
          <w:rFonts w:hint="eastAsia"/>
          <w:spacing w:val="3"/>
        </w:rPr>
      </w:pPr>
      <w:r>
        <w:rPr>
          <w:rFonts w:hint="eastAsia"/>
          <w:spacing w:val="3"/>
          <w:lang w:val="en-US" w:eastAsia="zh-CN"/>
        </w:rPr>
        <w:t xml:space="preserve">GB/T 24891 </w:t>
      </w:r>
      <w:r>
        <w:rPr>
          <w:rFonts w:hint="eastAsia"/>
          <w:spacing w:val="3"/>
        </w:rPr>
        <w:t>复混肥料粒度的测定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firstLine="412" w:firstLineChars="200"/>
        <w:textAlignment w:val="baseline"/>
        <w:rPr>
          <w:rFonts w:hint="default"/>
          <w:spacing w:val="3"/>
          <w:lang w:val="en-US" w:eastAsia="zh-CN"/>
        </w:rPr>
      </w:pPr>
      <w:r>
        <w:rPr>
          <w:rFonts w:hint="eastAsia"/>
          <w:spacing w:val="3"/>
          <w:lang w:val="en-US" w:eastAsia="zh-CN"/>
        </w:rPr>
        <w:t xml:space="preserve">GB/T 8576  </w:t>
      </w:r>
      <w:r>
        <w:rPr>
          <w:rFonts w:hint="eastAsia"/>
          <w:spacing w:val="3"/>
        </w:rPr>
        <w:t>复混肥料中游离水含量的测定 真空烘箱法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firstLine="436" w:firstLineChars="200"/>
        <w:textAlignment w:val="baseline"/>
      </w:pPr>
      <w:r>
        <w:rPr>
          <w:spacing w:val="9"/>
        </w:rPr>
        <w:t>相关的法律、行政法规、部门规章、规范性文件</w:t>
      </w:r>
    </w:p>
    <w:p>
      <w:pPr>
        <w:pStyle w:val="2"/>
        <w:spacing w:before="196" w:line="439" w:lineRule="exact"/>
        <w:ind w:left="441"/>
      </w:pPr>
      <w:r>
        <w:rPr>
          <w:spacing w:val="9"/>
          <w:position w:val="17"/>
        </w:rPr>
        <w:t>现行有效的企业标准、团体标准、地方标准及产品明示质量要求</w:t>
      </w:r>
    </w:p>
    <w:p>
      <w:pPr>
        <w:pStyle w:val="2"/>
        <w:spacing w:line="228" w:lineRule="auto"/>
        <w:ind w:left="24"/>
      </w:pPr>
      <w:r>
        <w:rPr>
          <w:spacing w:val="4"/>
        </w:rPr>
        <w:t>3.2</w:t>
      </w:r>
      <w:r>
        <w:rPr>
          <w:spacing w:val="-37"/>
        </w:rPr>
        <w:t xml:space="preserve"> </w:t>
      </w:r>
      <w:r>
        <w:rPr>
          <w:spacing w:val="4"/>
        </w:rPr>
        <w:t>判定原则</w:t>
      </w:r>
    </w:p>
    <w:p>
      <w:pPr>
        <w:pStyle w:val="2"/>
        <w:spacing w:before="192" w:line="442" w:lineRule="exact"/>
        <w:ind w:left="441"/>
      </w:pPr>
      <w:r>
        <w:rPr>
          <w:spacing w:val="10"/>
          <w:position w:val="18"/>
        </w:rPr>
        <w:t>经检验，检验项目全部合格，判定为被抽查产品所检项目</w:t>
      </w:r>
      <w:r>
        <w:rPr>
          <w:spacing w:val="9"/>
          <w:position w:val="18"/>
        </w:rPr>
        <w:t>未发现不合格；检验项目中</w:t>
      </w:r>
    </w:p>
    <w:p>
      <w:pPr>
        <w:pStyle w:val="2"/>
        <w:spacing w:line="227" w:lineRule="auto"/>
        <w:ind w:left="19"/>
      </w:pPr>
      <w:r>
        <w:rPr>
          <w:spacing w:val="9"/>
        </w:rPr>
        <w:t>任一项或一项以上不合格，判定为被抽查产品不合格。</w:t>
      </w:r>
    </w:p>
    <w:p>
      <w:pPr>
        <w:pStyle w:val="2"/>
        <w:spacing w:before="193" w:line="439" w:lineRule="exact"/>
        <w:ind w:left="438"/>
      </w:pPr>
      <w:r>
        <w:rPr>
          <w:spacing w:val="10"/>
          <w:position w:val="18"/>
        </w:rPr>
        <w:t>若被检产品明示的质量要求高于本细则中检验项目依据的标准要</w:t>
      </w:r>
      <w:r>
        <w:rPr>
          <w:spacing w:val="9"/>
          <w:position w:val="18"/>
        </w:rPr>
        <w:t>求时，应按被检产品</w:t>
      </w:r>
    </w:p>
    <w:p>
      <w:pPr>
        <w:pStyle w:val="2"/>
        <w:spacing w:before="1" w:line="227" w:lineRule="auto"/>
        <w:ind w:left="39"/>
      </w:pPr>
      <w:r>
        <w:rPr>
          <w:spacing w:val="6"/>
        </w:rPr>
        <w:t>明示的质量要求判定。</w:t>
      </w:r>
    </w:p>
    <w:p>
      <w:pPr>
        <w:pStyle w:val="2"/>
        <w:spacing w:before="195" w:line="439" w:lineRule="exact"/>
        <w:ind w:left="438"/>
      </w:pPr>
      <w:r>
        <w:rPr>
          <w:spacing w:val="10"/>
          <w:position w:val="18"/>
        </w:rPr>
        <w:t>若被检产品明示的质量要求低于本细则中检验项目依据的强制性</w:t>
      </w:r>
      <w:r>
        <w:rPr>
          <w:spacing w:val="9"/>
          <w:position w:val="18"/>
        </w:rPr>
        <w:t>标准要求时，应按照</w:t>
      </w:r>
    </w:p>
    <w:p>
      <w:pPr>
        <w:pStyle w:val="2"/>
        <w:spacing w:line="228" w:lineRule="auto"/>
        <w:ind w:left="24"/>
      </w:pPr>
      <w:r>
        <w:rPr>
          <w:spacing w:val="7"/>
        </w:rPr>
        <w:t>强制性标准要求判定。</w:t>
      </w:r>
    </w:p>
    <w:p>
      <w:pPr>
        <w:pStyle w:val="2"/>
        <w:spacing w:before="192" w:line="442" w:lineRule="exact"/>
        <w:ind w:left="438"/>
      </w:pPr>
      <w:r>
        <w:rPr>
          <w:spacing w:val="10"/>
          <w:position w:val="18"/>
        </w:rPr>
        <w:t>若被检产品明示的质量要求低于或包含细则中检验项目依据的推</w:t>
      </w:r>
      <w:r>
        <w:rPr>
          <w:spacing w:val="9"/>
          <w:position w:val="18"/>
        </w:rPr>
        <w:t>荐性标准要求时，应</w:t>
      </w:r>
    </w:p>
    <w:p>
      <w:pPr>
        <w:pStyle w:val="2"/>
        <w:spacing w:line="226" w:lineRule="auto"/>
        <w:ind w:left="43"/>
      </w:pPr>
      <w:r>
        <w:rPr>
          <w:spacing w:val="8"/>
        </w:rPr>
        <w:t>以被检产品明示的质量要求判定，但应在检验报告备注中进行说明。</w:t>
      </w:r>
    </w:p>
    <w:p>
      <w:pPr>
        <w:pStyle w:val="2"/>
        <w:spacing w:before="194" w:line="439" w:lineRule="exact"/>
        <w:ind w:left="438"/>
      </w:pPr>
      <w:r>
        <w:rPr>
          <w:spacing w:val="10"/>
          <w:position w:val="18"/>
        </w:rPr>
        <w:t>若被检产品明示的质量要求缺少本细则中检验项目依据的强制性</w:t>
      </w:r>
      <w:r>
        <w:rPr>
          <w:spacing w:val="9"/>
          <w:position w:val="18"/>
        </w:rPr>
        <w:t>标准要求时，应按照</w:t>
      </w:r>
    </w:p>
    <w:p>
      <w:pPr>
        <w:pStyle w:val="2"/>
        <w:spacing w:before="1" w:line="228" w:lineRule="auto"/>
        <w:ind w:left="24"/>
      </w:pPr>
      <w:r>
        <w:rPr>
          <w:spacing w:val="7"/>
        </w:rPr>
        <w:t>强制性标准要求判定。</w:t>
      </w:r>
    </w:p>
    <w:p>
      <w:pPr>
        <w:pStyle w:val="2"/>
        <w:spacing w:before="194" w:line="439" w:lineRule="exact"/>
        <w:ind w:left="438"/>
      </w:pPr>
      <w:r>
        <w:rPr>
          <w:spacing w:val="10"/>
          <w:position w:val="18"/>
        </w:rPr>
        <w:t>若被检产品明示的质量要求缺少本细则中检验项目依据的推荐性</w:t>
      </w:r>
      <w:r>
        <w:rPr>
          <w:spacing w:val="9"/>
          <w:position w:val="18"/>
        </w:rPr>
        <w:t>标准要求时，该项目</w:t>
      </w:r>
    </w:p>
    <w:p>
      <w:pPr>
        <w:pStyle w:val="2"/>
        <w:spacing w:line="226" w:lineRule="auto"/>
        <w:ind w:left="23"/>
      </w:pPr>
      <w:r>
        <w:rPr>
          <w:spacing w:val="8"/>
        </w:rPr>
        <w:t>不参与判定，但应在检验报告备注中进行说明。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50" w:line="360" w:lineRule="auto"/>
        <w:textAlignment w:val="baseline"/>
        <w:outlineLvl w:val="0"/>
        <w:rPr>
          <w:rFonts w:hint="eastAsia" w:ascii="黑体" w:hAnsi="黑体" w:eastAsia="黑体" w:cs="黑体"/>
          <w:color w:val="auto"/>
          <w:spacing w:val="-1"/>
          <w:sz w:val="20"/>
          <w:szCs w:val="20"/>
          <w:lang w:eastAsia="zh-CN"/>
        </w:rPr>
      </w:pPr>
      <w:r>
        <w:rPr>
          <w:rFonts w:hint="eastAsia" w:ascii="黑体" w:hAnsi="黑体" w:eastAsia="黑体" w:cs="黑体"/>
          <w:color w:val="auto"/>
          <w:spacing w:val="-1"/>
          <w:sz w:val="20"/>
          <w:szCs w:val="20"/>
          <w:lang w:eastAsia="zh-CN"/>
        </w:rPr>
        <w:t>4 异议复检</w:t>
      </w:r>
    </w:p>
    <w:p>
      <w:pPr>
        <w:pStyle w:val="2"/>
        <w:spacing w:before="152" w:line="468" w:lineRule="exact"/>
        <w:ind w:left="440"/>
      </w:pPr>
      <w:r>
        <w:rPr>
          <w:spacing w:val="9"/>
          <w:position w:val="20"/>
        </w:rPr>
        <w:t>本细则中确定的全部检验项目，采用备用样品进行复检，相关标准规定有仲裁法的，</w:t>
      </w:r>
    </w:p>
    <w:p>
      <w:pPr>
        <w:pStyle w:val="2"/>
        <w:spacing w:before="1" w:line="192" w:lineRule="auto"/>
        <w:ind w:left="25"/>
      </w:pPr>
      <w:r>
        <w:rPr>
          <w:spacing w:val="7"/>
        </w:rPr>
        <w:t>复检应采用仲裁法。</w:t>
      </w:r>
    </w:p>
    <w:sectPr>
      <w:type w:val="continuous"/>
      <w:pgSz w:w="11906" w:h="16839"/>
      <w:pgMar w:top="1431" w:right="1785" w:bottom="0" w:left="1785" w:header="0" w:footer="0" w:gutter="0"/>
      <w:cols w:equalWidth="0" w:num="1">
        <w:col w:w="8335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Zjc3ZjlhMmFhNDM4OWQ1Y2M3OWYxYjE0NWM1MWRkNjgifQ=="/>
  </w:docVars>
  <w:rsids>
    <w:rsidRoot w:val="00000000"/>
    <w:rsid w:val="0BB21AC9"/>
    <w:rsid w:val="2CB17FD8"/>
    <w:rsid w:val="3AE74D74"/>
    <w:rsid w:val="47D63518"/>
    <w:rsid w:val="63825570"/>
    <w:rsid w:val="6C61675C"/>
    <w:rsid w:val="78B97E6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5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autoRedefine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55</TotalTime>
  <ScaleCrop>false</ScaleCrop>
  <LinksUpToDate>false</LinksUpToDate>
  <Application>WPS Office_12.1.0.16412_F1E327BC-269C-435d-A152-05C5408002CA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2024-03-07T09:03:00Z</dcterms:created>
  <dc:creator>Kingsoft-PDF</dc:creator>
  <cp:lastModifiedBy>叁柒肆拾玖</cp:lastModifiedBy>
  <dcterms:modified xsi:type="dcterms:W3CDTF">2024-04-03T06:37:00Z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2024-03-07T09:03:03Z</vt:filetime>
  </property>
  <property fmtid="{D5CDD505-2E9C-101B-9397-08002B2CF9AE}" pid="4" name="UsrData">
    <vt:lpwstr>65e912437d8934001f70a747wl</vt:lpwstr>
  </property>
  <property fmtid="{D5CDD505-2E9C-101B-9397-08002B2CF9AE}" pid="5" name="KSOProductBuildVer">
    <vt:lpwstr>2052-12.1.0.16412</vt:lpwstr>
  </property>
  <property fmtid="{D5CDD505-2E9C-101B-9397-08002B2CF9AE}" pid="6" name="ICV">
    <vt:lpwstr>C5DAB449E4124B1E8A9DCFE9023FDD7D_13</vt:lpwstr>
  </property>
</Properties>
</file>