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1391"/>
        <w:textAlignment w:val="baseline"/>
        <w:outlineLvl w:val="0"/>
        <w:rPr>
          <w:rFonts w:hint="eastAsia" w:ascii="黑体" w:hAnsi="黑体" w:eastAsia="黑体" w:cs="黑体"/>
          <w:b w:val="0"/>
          <w:bCs w:val="0"/>
          <w:spacing w:val="-1"/>
          <w:sz w:val="28"/>
          <w:szCs w:val="28"/>
          <w:lang w:eastAsia="zh-CN"/>
          <w14:textOutline w14:w="5103" w14:cap="sq" w14:cmpd="sng">
            <w14:solidFill>
              <w14:srgbClr w14:val="000000"/>
            </w14:solidFill>
            <w14:prstDash w14:val="solid"/>
            <w14:bevel/>
          </w14:textOutline>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color w:val="auto"/>
          <w:spacing w:val="-1"/>
          <w:sz w:val="28"/>
          <w:szCs w:val="28"/>
        </w:rPr>
      </w:pPr>
      <w:r>
        <w:rPr>
          <w:rFonts w:hint="eastAsia" w:ascii="黑体" w:hAnsi="黑体" w:eastAsia="黑体" w:cs="黑体"/>
          <w:b w:val="0"/>
          <w:bCs w:val="0"/>
          <w:color w:val="auto"/>
          <w:spacing w:val="-1"/>
          <w:sz w:val="28"/>
          <w:szCs w:val="28"/>
          <w:lang w:eastAsia="zh-CN"/>
        </w:rPr>
        <w:t>威海火炬高技术产业开发区手洗</w:t>
      </w:r>
      <w:r>
        <w:rPr>
          <w:rFonts w:hint="eastAsia" w:ascii="黑体" w:hAnsi="黑体" w:eastAsia="黑体" w:cs="黑体"/>
          <w:b w:val="0"/>
          <w:bCs w:val="0"/>
          <w:color w:val="auto"/>
          <w:spacing w:val="-1"/>
          <w:sz w:val="28"/>
          <w:szCs w:val="28"/>
        </w:rPr>
        <w:t>餐具</w:t>
      </w:r>
      <w:r>
        <w:rPr>
          <w:rFonts w:hint="eastAsia" w:ascii="黑体" w:hAnsi="黑体" w:eastAsia="黑体" w:cs="黑体"/>
          <w:b w:val="0"/>
          <w:bCs w:val="0"/>
          <w:color w:val="auto"/>
          <w:spacing w:val="-1"/>
          <w:sz w:val="28"/>
          <w:szCs w:val="28"/>
          <w:lang w:eastAsia="zh-CN"/>
        </w:rPr>
        <w:t>用</w:t>
      </w:r>
      <w:r>
        <w:rPr>
          <w:rFonts w:hint="eastAsia" w:ascii="黑体" w:hAnsi="黑体" w:eastAsia="黑体" w:cs="黑体"/>
          <w:b w:val="0"/>
          <w:bCs w:val="0"/>
          <w:color w:val="auto"/>
          <w:spacing w:val="-1"/>
          <w:sz w:val="28"/>
          <w:szCs w:val="28"/>
        </w:rPr>
        <w:t>洗涤剂产品质量监督抽查实施细则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color w:val="auto"/>
          <w:spacing w:val="-1"/>
          <w:sz w:val="32"/>
          <w:szCs w:val="32"/>
        </w:rPr>
      </w:pPr>
      <w:r>
        <w:rPr>
          <w:rFonts w:hint="eastAsia" w:ascii="黑体" w:hAnsi="黑体" w:eastAsia="黑体" w:cs="黑体"/>
          <w:b w:val="0"/>
          <w:bCs w:val="0"/>
          <w:color w:val="auto"/>
          <w:spacing w:val="-1"/>
          <w:sz w:val="28"/>
          <w:szCs w:val="28"/>
        </w:rPr>
        <w:t>（2024 年版</w:t>
      </w:r>
      <w:r>
        <w:rPr>
          <w:rFonts w:hint="eastAsia" w:ascii="黑体" w:hAnsi="黑体" w:eastAsia="黑体" w:cs="黑体"/>
          <w:b w:val="0"/>
          <w:bCs w:val="0"/>
          <w:color w:val="auto"/>
          <w:spacing w:val="-1"/>
          <w:sz w:val="32"/>
          <w:szCs w:val="32"/>
        </w:rPr>
        <w:t>）</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1 抽样</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sz w:val="20"/>
          <w:szCs w:val="20"/>
        </w:rPr>
      </w:pPr>
      <w:r>
        <w:rPr>
          <w:spacing w:val="3"/>
          <w:sz w:val="20"/>
          <w:szCs w:val="20"/>
        </w:rPr>
        <w:t>1.1</w:t>
      </w:r>
      <w:r>
        <w:rPr>
          <w:spacing w:val="-41"/>
          <w:sz w:val="20"/>
          <w:szCs w:val="20"/>
        </w:rPr>
        <w:t xml:space="preserve"> </w:t>
      </w:r>
      <w:r>
        <w:rPr>
          <w:spacing w:val="3"/>
          <w:sz w:val="20"/>
          <w:szCs w:val="20"/>
        </w:rPr>
        <w:t>抽样方法</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32" w:firstLineChars="200"/>
        <w:textAlignment w:val="baseline"/>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spacing w:val="8"/>
          <w:position w:val="20"/>
          <w:sz w:val="20"/>
          <w:szCs w:val="20"/>
        </w:rPr>
        <w:t>以随机抽样的方式在被抽样</w:t>
      </w:r>
      <w:bookmarkStart w:id="0" w:name="_GoBack"/>
      <w:bookmarkEnd w:id="0"/>
      <w:r>
        <w:rPr>
          <w:rFonts w:hint="eastAsia" w:asciiTheme="majorEastAsia" w:hAnsiTheme="majorEastAsia" w:eastAsiaTheme="majorEastAsia" w:cstheme="majorEastAsia"/>
          <w:spacing w:val="8"/>
          <w:position w:val="20"/>
          <w:sz w:val="20"/>
          <w:szCs w:val="20"/>
        </w:rPr>
        <w:t>销售者的待销产品中抽取。</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2" w:firstLineChars="200"/>
        <w:textAlignment w:val="baseline"/>
        <w:rPr>
          <w:rFonts w:hint="eastAsia" w:asciiTheme="majorEastAsia" w:hAnsiTheme="majorEastAsia" w:eastAsiaTheme="majorEastAsia" w:cstheme="majorEastAsia"/>
          <w:sz w:val="20"/>
          <w:szCs w:val="20"/>
        </w:rPr>
      </w:pPr>
      <w:r>
        <w:rPr>
          <w:rFonts w:hint="eastAsia" w:asciiTheme="majorEastAsia" w:hAnsiTheme="majorEastAsia" w:eastAsiaTheme="majorEastAsia" w:cstheme="majorEastAsia"/>
          <w:spacing w:val="8"/>
          <w:sz w:val="20"/>
          <w:szCs w:val="20"/>
        </w:rPr>
        <w:t>随机数一般可使用随机数表等方法产生。</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sz w:val="20"/>
          <w:szCs w:val="20"/>
        </w:rPr>
      </w:pPr>
      <w:r>
        <w:rPr>
          <w:spacing w:val="3"/>
          <w:sz w:val="20"/>
          <w:szCs w:val="20"/>
        </w:rPr>
        <w:t>1.2</w:t>
      </w:r>
      <w:r>
        <w:rPr>
          <w:spacing w:val="-41"/>
          <w:sz w:val="20"/>
          <w:szCs w:val="20"/>
        </w:rPr>
        <w:t xml:space="preserve"> </w:t>
      </w:r>
      <w:r>
        <w:rPr>
          <w:spacing w:val="3"/>
          <w:sz w:val="20"/>
          <w:szCs w:val="20"/>
        </w:rPr>
        <w:t>抽样基数</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2" w:firstLineChars="200"/>
        <w:textAlignment w:val="baseline"/>
        <w:rPr>
          <w:sz w:val="20"/>
          <w:szCs w:val="20"/>
        </w:rPr>
      </w:pPr>
      <w:r>
        <w:rPr>
          <w:spacing w:val="8"/>
          <w:sz w:val="20"/>
          <w:szCs w:val="20"/>
        </w:rPr>
        <w:t>抽查样品基数满足抽样数量即可。</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sz w:val="20"/>
          <w:szCs w:val="20"/>
        </w:rPr>
      </w:pPr>
      <w:r>
        <w:rPr>
          <w:spacing w:val="3"/>
          <w:sz w:val="20"/>
          <w:szCs w:val="20"/>
        </w:rPr>
        <w:t>1.3</w:t>
      </w:r>
      <w:r>
        <w:rPr>
          <w:spacing w:val="-41"/>
          <w:sz w:val="20"/>
          <w:szCs w:val="20"/>
        </w:rPr>
        <w:t xml:space="preserve"> </w:t>
      </w:r>
      <w:r>
        <w:rPr>
          <w:spacing w:val="3"/>
          <w:sz w:val="20"/>
          <w:szCs w:val="20"/>
        </w:rPr>
        <w:t>抽样范围</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36" w:firstLineChars="200"/>
        <w:textAlignment w:val="baseline"/>
        <w:rPr>
          <w:sz w:val="20"/>
          <w:szCs w:val="20"/>
        </w:rPr>
      </w:pPr>
      <w:r>
        <w:rPr>
          <w:spacing w:val="9"/>
          <w:position w:val="20"/>
          <w:sz w:val="20"/>
          <w:szCs w:val="20"/>
        </w:rPr>
        <w:t>随机抽取有产品质量检验合格证明或以其他形式表明合格的，近期生产的产品。</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spacing w:val="8"/>
          <w:sz w:val="20"/>
          <w:szCs w:val="20"/>
        </w:rPr>
      </w:pPr>
      <w:r>
        <w:rPr>
          <w:spacing w:val="8"/>
          <w:sz w:val="20"/>
          <w:szCs w:val="20"/>
        </w:rPr>
        <w:t>抽取样品应为同一规格型号。</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sz w:val="20"/>
          <w:szCs w:val="20"/>
        </w:rPr>
      </w:pPr>
      <w:r>
        <w:rPr>
          <w:spacing w:val="3"/>
          <w:sz w:val="20"/>
          <w:szCs w:val="20"/>
        </w:rPr>
        <w:t>1.4</w:t>
      </w:r>
      <w:r>
        <w:rPr>
          <w:spacing w:val="-41"/>
          <w:sz w:val="20"/>
          <w:szCs w:val="20"/>
        </w:rPr>
        <w:t xml:space="preserve"> </w:t>
      </w:r>
      <w:r>
        <w:rPr>
          <w:spacing w:val="3"/>
          <w:sz w:val="20"/>
          <w:szCs w:val="20"/>
        </w:rPr>
        <w:t>抽样数量</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rPr>
          <w:sz w:val="20"/>
          <w:szCs w:val="20"/>
        </w:rPr>
      </w:pPr>
      <w:r>
        <w:rPr>
          <w:spacing w:val="6"/>
          <w:position w:val="20"/>
          <w:sz w:val="20"/>
          <w:szCs w:val="20"/>
        </w:rPr>
        <w:t>每批次产品抽取样品不少于</w:t>
      </w:r>
      <w:r>
        <w:rPr>
          <w:spacing w:val="-17"/>
          <w:position w:val="20"/>
          <w:sz w:val="20"/>
          <w:szCs w:val="20"/>
        </w:rPr>
        <w:t xml:space="preserve"> </w:t>
      </w:r>
      <w:r>
        <w:rPr>
          <w:spacing w:val="6"/>
          <w:position w:val="20"/>
          <w:sz w:val="20"/>
          <w:szCs w:val="20"/>
        </w:rPr>
        <w:t>3</w:t>
      </w:r>
      <w:r>
        <w:rPr>
          <w:spacing w:val="-40"/>
          <w:position w:val="20"/>
          <w:sz w:val="20"/>
          <w:szCs w:val="20"/>
        </w:rPr>
        <w:t xml:space="preserve"> </w:t>
      </w:r>
      <w:r>
        <w:rPr>
          <w:spacing w:val="6"/>
          <w:position w:val="20"/>
          <w:sz w:val="20"/>
          <w:szCs w:val="20"/>
        </w:rPr>
        <w:t>个独立包装，且总量不少于</w:t>
      </w:r>
      <w:r>
        <w:rPr>
          <w:spacing w:val="-24"/>
          <w:position w:val="20"/>
          <w:sz w:val="20"/>
          <w:szCs w:val="20"/>
        </w:rPr>
        <w:t xml:space="preserve"> </w:t>
      </w:r>
      <w:r>
        <w:rPr>
          <w:spacing w:val="6"/>
          <w:position w:val="20"/>
          <w:sz w:val="20"/>
          <w:szCs w:val="20"/>
        </w:rPr>
        <w:t>1.5</w:t>
      </w:r>
      <w:r>
        <w:rPr>
          <w:position w:val="20"/>
          <w:sz w:val="20"/>
          <w:szCs w:val="20"/>
        </w:rPr>
        <w:t>kg</w:t>
      </w:r>
      <w:r>
        <w:rPr>
          <w:spacing w:val="6"/>
          <w:position w:val="20"/>
          <w:sz w:val="20"/>
          <w:szCs w:val="20"/>
        </w:rPr>
        <w:t>，其中</w:t>
      </w:r>
      <w:r>
        <w:rPr>
          <w:spacing w:val="-35"/>
          <w:position w:val="20"/>
          <w:sz w:val="20"/>
          <w:szCs w:val="20"/>
        </w:rPr>
        <w:t xml:space="preserve"> </w:t>
      </w:r>
      <w:r>
        <w:rPr>
          <w:spacing w:val="6"/>
          <w:position w:val="20"/>
          <w:sz w:val="20"/>
          <w:szCs w:val="20"/>
        </w:rPr>
        <w:t>2</w:t>
      </w:r>
      <w:r>
        <w:rPr>
          <w:spacing w:val="-37"/>
          <w:position w:val="20"/>
          <w:sz w:val="20"/>
          <w:szCs w:val="20"/>
        </w:rPr>
        <w:t xml:space="preserve"> </w:t>
      </w:r>
      <w:r>
        <w:rPr>
          <w:spacing w:val="6"/>
          <w:position w:val="20"/>
          <w:sz w:val="20"/>
          <w:szCs w:val="20"/>
        </w:rPr>
        <w:t>份作为检验样</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spacing w:val="5"/>
          <w:sz w:val="20"/>
          <w:szCs w:val="20"/>
        </w:rPr>
      </w:pPr>
      <w:r>
        <w:rPr>
          <w:spacing w:val="5"/>
          <w:sz w:val="20"/>
          <w:szCs w:val="20"/>
        </w:rPr>
        <w:t>品，1</w:t>
      </w:r>
      <w:r>
        <w:rPr>
          <w:spacing w:val="-37"/>
          <w:sz w:val="20"/>
          <w:szCs w:val="20"/>
        </w:rPr>
        <w:t xml:space="preserve"> </w:t>
      </w:r>
      <w:r>
        <w:rPr>
          <w:spacing w:val="5"/>
          <w:sz w:val="20"/>
          <w:szCs w:val="20"/>
        </w:rPr>
        <w:t>份作为备用样品。</w:t>
      </w:r>
    </w:p>
    <w:p>
      <w:pPr>
        <w:pStyle w:val="2"/>
        <w:spacing w:line="240" w:lineRule="auto"/>
        <w:ind w:left="0"/>
        <w:rPr>
          <w:spacing w:val="5"/>
          <w:sz w:val="20"/>
          <w:szCs w:val="20"/>
        </w:r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both"/>
        <w:textAlignment w:val="baseline"/>
        <w:outlineLvl w:val="0"/>
        <w:rPr>
          <w:rFonts w:hint="eastAsia" w:asciiTheme="majorEastAsia" w:hAnsiTheme="majorEastAsia" w:eastAsiaTheme="majorEastAsia" w:cstheme="majorEastAsia"/>
          <w:b/>
          <w:bCs/>
          <w:spacing w:val="5"/>
          <w:sz w:val="20"/>
          <w:szCs w:val="20"/>
        </w:rPr>
      </w:pPr>
      <w:r>
        <w:rPr>
          <w:rFonts w:hint="eastAsia" w:ascii="黑体" w:hAnsi="黑体" w:eastAsia="黑体" w:cs="黑体"/>
          <w:b w:val="0"/>
          <w:bCs w:val="0"/>
          <w:color w:val="auto"/>
          <w:spacing w:val="-1"/>
          <w:sz w:val="20"/>
          <w:szCs w:val="20"/>
        </w:rPr>
        <w:t>2 检验项目及检测方法</w:t>
      </w:r>
    </w:p>
    <w:p>
      <w:pPr>
        <w:pStyle w:val="2"/>
        <w:spacing w:line="240" w:lineRule="auto"/>
        <w:ind w:left="39"/>
        <w:jc w:val="center"/>
        <w:rPr>
          <w:rFonts w:hint="eastAsia" w:asciiTheme="majorEastAsia" w:hAnsiTheme="majorEastAsia" w:eastAsiaTheme="majorEastAsia" w:cstheme="majorEastAsia"/>
          <w:b/>
          <w:bCs/>
          <w:spacing w:val="5"/>
          <w:sz w:val="20"/>
          <w:szCs w:val="20"/>
        </w:rPr>
      </w:pPr>
      <w:r>
        <w:rPr>
          <w:rFonts w:hint="eastAsia" w:asciiTheme="majorEastAsia" w:hAnsiTheme="majorEastAsia" w:eastAsiaTheme="majorEastAsia" w:cstheme="majorEastAsia"/>
          <w:b/>
          <w:bCs/>
          <w:spacing w:val="5"/>
          <w:sz w:val="20"/>
          <w:szCs w:val="20"/>
        </w:rPr>
        <w:t>表</w:t>
      </w:r>
      <w:r>
        <w:rPr>
          <w:rFonts w:hint="eastAsia" w:asciiTheme="majorEastAsia" w:hAnsiTheme="majorEastAsia" w:eastAsiaTheme="majorEastAsia" w:cstheme="majorEastAsia"/>
          <w:b/>
          <w:bCs/>
          <w:spacing w:val="5"/>
          <w:sz w:val="20"/>
          <w:szCs w:val="20"/>
          <w:lang w:val="en-US" w:eastAsia="zh-CN"/>
        </w:rPr>
        <w:t>1</w:t>
      </w:r>
      <w:r>
        <w:rPr>
          <w:rFonts w:hint="eastAsia" w:asciiTheme="majorEastAsia" w:hAnsiTheme="majorEastAsia" w:eastAsiaTheme="majorEastAsia" w:cstheme="majorEastAsia"/>
          <w:b/>
          <w:bCs/>
          <w:spacing w:val="5"/>
          <w:sz w:val="20"/>
          <w:szCs w:val="20"/>
        </w:rPr>
        <w:t xml:space="preserve">  手洗餐具用洗涤剂检验项目</w:t>
      </w:r>
    </w:p>
    <w:p>
      <w:pPr>
        <w:spacing w:line="93" w:lineRule="exact"/>
      </w:pPr>
    </w:p>
    <w:tbl>
      <w:tblPr>
        <w:tblStyle w:val="5"/>
        <w:tblW w:w="7549" w:type="dxa"/>
        <w:tblInd w:w="39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72"/>
        <w:gridCol w:w="3685"/>
        <w:gridCol w:w="289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trPr>
        <w:tc>
          <w:tcPr>
            <w:tcW w:w="972" w:type="dxa"/>
            <w:vAlign w:val="top"/>
          </w:tcPr>
          <w:p>
            <w:pPr>
              <w:pStyle w:val="6"/>
              <w:spacing w:before="246" w:line="229" w:lineRule="auto"/>
              <w:ind w:left="279"/>
            </w:pPr>
            <w:r>
              <w:rPr>
                <w:spacing w:val="5"/>
              </w:rPr>
              <w:t>序号</w:t>
            </w:r>
          </w:p>
        </w:tc>
        <w:tc>
          <w:tcPr>
            <w:tcW w:w="3685" w:type="dxa"/>
            <w:vAlign w:val="top"/>
          </w:tcPr>
          <w:p>
            <w:pPr>
              <w:pStyle w:val="6"/>
              <w:spacing w:before="245" w:line="228" w:lineRule="auto"/>
              <w:ind w:left="1427"/>
            </w:pPr>
            <w:r>
              <w:rPr>
                <w:spacing w:val="7"/>
              </w:rPr>
              <w:t>检验项目</w:t>
            </w:r>
          </w:p>
        </w:tc>
        <w:tc>
          <w:tcPr>
            <w:tcW w:w="2892" w:type="dxa"/>
            <w:vAlign w:val="top"/>
          </w:tcPr>
          <w:p>
            <w:pPr>
              <w:pStyle w:val="6"/>
              <w:spacing w:before="245" w:line="228" w:lineRule="auto"/>
              <w:ind w:left="1030"/>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65" w:line="186" w:lineRule="auto"/>
              <w:ind w:left="454"/>
            </w:pPr>
            <w:r>
              <w:t>1</w:t>
            </w:r>
          </w:p>
        </w:tc>
        <w:tc>
          <w:tcPr>
            <w:tcW w:w="3685" w:type="dxa"/>
            <w:vAlign w:val="center"/>
          </w:tcPr>
          <w:p>
            <w:pPr>
              <w:pStyle w:val="6"/>
              <w:spacing w:before="33" w:line="216" w:lineRule="auto"/>
              <w:ind w:left="1640"/>
            </w:pPr>
            <w:r>
              <w:rPr>
                <w:spacing w:val="2"/>
              </w:rPr>
              <w:t>外观</w:t>
            </w:r>
          </w:p>
        </w:tc>
        <w:tc>
          <w:tcPr>
            <w:tcW w:w="2892" w:type="dxa"/>
            <w:vAlign w:val="center"/>
          </w:tcPr>
          <w:p>
            <w:pPr>
              <w:pStyle w:val="6"/>
              <w:spacing w:before="33" w:line="216" w:lineRule="auto"/>
              <w:ind w:left="922"/>
            </w:pPr>
            <w:r>
              <w:t>GB</w:t>
            </w:r>
            <w:r>
              <w:rPr>
                <w:spacing w:val="2"/>
              </w:rPr>
              <w:t>/T</w:t>
            </w:r>
            <w:r>
              <w:rPr>
                <w:spacing w:val="29"/>
              </w:rPr>
              <w:t xml:space="preserve"> </w:t>
            </w:r>
            <w:r>
              <w:rPr>
                <w:spacing w:val="2"/>
              </w:rPr>
              <w:t>13173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64" w:line="188" w:lineRule="auto"/>
              <w:ind w:left="441"/>
            </w:pPr>
            <w:r>
              <w:t>2</w:t>
            </w:r>
          </w:p>
        </w:tc>
        <w:tc>
          <w:tcPr>
            <w:tcW w:w="3685" w:type="dxa"/>
            <w:vAlign w:val="center"/>
          </w:tcPr>
          <w:p>
            <w:pPr>
              <w:pStyle w:val="6"/>
              <w:spacing w:before="31" w:line="218" w:lineRule="auto"/>
              <w:ind w:left="1637"/>
            </w:pPr>
            <w:r>
              <w:rPr>
                <w:spacing w:val="4"/>
              </w:rPr>
              <w:t>气味</w:t>
            </w:r>
          </w:p>
        </w:tc>
        <w:tc>
          <w:tcPr>
            <w:tcW w:w="2892" w:type="dxa"/>
            <w:vAlign w:val="center"/>
          </w:tcPr>
          <w:p>
            <w:pPr>
              <w:pStyle w:val="6"/>
              <w:spacing w:before="31" w:line="218" w:lineRule="auto"/>
              <w:ind w:left="922"/>
            </w:pPr>
            <w:r>
              <w:t>GB</w:t>
            </w:r>
            <w:r>
              <w:rPr>
                <w:spacing w:val="2"/>
              </w:rPr>
              <w:t>/T</w:t>
            </w:r>
            <w:r>
              <w:rPr>
                <w:spacing w:val="29"/>
              </w:rPr>
              <w:t xml:space="preserve"> </w:t>
            </w:r>
            <w:r>
              <w:rPr>
                <w:spacing w:val="2"/>
              </w:rPr>
              <w:t>13173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65" w:line="186" w:lineRule="auto"/>
              <w:ind w:left="443"/>
            </w:pPr>
            <w:r>
              <w:t>3</w:t>
            </w:r>
          </w:p>
        </w:tc>
        <w:tc>
          <w:tcPr>
            <w:tcW w:w="3685" w:type="dxa"/>
            <w:vAlign w:val="center"/>
          </w:tcPr>
          <w:p>
            <w:pPr>
              <w:pStyle w:val="6"/>
              <w:spacing w:before="31" w:line="217" w:lineRule="auto"/>
              <w:ind w:left="1534"/>
            </w:pPr>
            <w:r>
              <w:rPr>
                <w:spacing w:val="6"/>
              </w:rPr>
              <w:t>稳定性</w:t>
            </w:r>
          </w:p>
        </w:tc>
        <w:tc>
          <w:tcPr>
            <w:tcW w:w="2892" w:type="dxa"/>
            <w:vAlign w:val="center"/>
          </w:tcPr>
          <w:p>
            <w:pPr>
              <w:pStyle w:val="6"/>
              <w:spacing w:before="31" w:line="217" w:lineRule="auto"/>
              <w:ind w:left="922"/>
            </w:pPr>
            <w:r>
              <w:t>GB</w:t>
            </w:r>
            <w:r>
              <w:rPr>
                <w:spacing w:val="2"/>
              </w:rPr>
              <w:t>/T</w:t>
            </w:r>
            <w:r>
              <w:rPr>
                <w:spacing w:val="29"/>
              </w:rPr>
              <w:t xml:space="preserve"> </w:t>
            </w:r>
            <w:r>
              <w:rPr>
                <w:spacing w:val="2"/>
              </w:rPr>
              <w:t>13173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85" w:line="189" w:lineRule="auto"/>
              <w:ind w:left="438"/>
            </w:pPr>
            <w:r>
              <w:t>4</w:t>
            </w:r>
          </w:p>
        </w:tc>
        <w:tc>
          <w:tcPr>
            <w:tcW w:w="3685" w:type="dxa"/>
            <w:vAlign w:val="center"/>
          </w:tcPr>
          <w:p>
            <w:pPr>
              <w:pStyle w:val="6"/>
              <w:spacing w:before="52" w:line="228" w:lineRule="auto"/>
              <w:ind w:left="1433"/>
            </w:pPr>
            <w:r>
              <w:rPr>
                <w:spacing w:val="5"/>
              </w:rPr>
              <w:t>总有效物</w:t>
            </w:r>
          </w:p>
        </w:tc>
        <w:tc>
          <w:tcPr>
            <w:tcW w:w="2892" w:type="dxa"/>
            <w:vAlign w:val="center"/>
          </w:tcPr>
          <w:p>
            <w:pPr>
              <w:pStyle w:val="6"/>
              <w:spacing w:before="32" w:line="233" w:lineRule="auto"/>
              <w:ind w:left="922"/>
            </w:pPr>
            <w:r>
              <w:t>GB</w:t>
            </w:r>
            <w:r>
              <w:rPr>
                <w:spacing w:val="2"/>
              </w:rPr>
              <w:t>/T</w:t>
            </w:r>
            <w:r>
              <w:rPr>
                <w:spacing w:val="29"/>
              </w:rPr>
              <w:t xml:space="preserve"> </w:t>
            </w:r>
            <w:r>
              <w:rPr>
                <w:spacing w:val="2"/>
              </w:rPr>
              <w:t>13173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88" w:line="187" w:lineRule="auto"/>
              <w:ind w:left="443"/>
            </w:pPr>
            <w:r>
              <w:t>5</w:t>
            </w:r>
          </w:p>
        </w:tc>
        <w:tc>
          <w:tcPr>
            <w:tcW w:w="3685" w:type="dxa"/>
            <w:vAlign w:val="center"/>
          </w:tcPr>
          <w:p>
            <w:pPr>
              <w:pStyle w:val="6"/>
              <w:spacing w:before="88" w:line="188" w:lineRule="auto"/>
              <w:ind w:left="1739"/>
            </w:pPr>
            <w:r>
              <w:rPr>
                <w:spacing w:val="2"/>
              </w:rPr>
              <w:t>pH</w:t>
            </w:r>
          </w:p>
        </w:tc>
        <w:tc>
          <w:tcPr>
            <w:tcW w:w="2892" w:type="dxa"/>
            <w:vAlign w:val="center"/>
          </w:tcPr>
          <w:p>
            <w:pPr>
              <w:pStyle w:val="6"/>
              <w:spacing w:before="33" w:line="233" w:lineRule="auto"/>
              <w:ind w:left="975"/>
            </w:pPr>
            <w:r>
              <w:t>GB</w:t>
            </w:r>
            <w:r>
              <w:rPr>
                <w:spacing w:val="4"/>
              </w:rPr>
              <w:t>/T</w:t>
            </w:r>
            <w:r>
              <w:rPr>
                <w:spacing w:val="16"/>
              </w:rPr>
              <w:t xml:space="preserve"> </w:t>
            </w:r>
            <w:r>
              <w:rPr>
                <w:spacing w:val="4"/>
              </w:rPr>
              <w:t>6368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72" w:type="dxa"/>
            <w:vAlign w:val="center"/>
          </w:tcPr>
          <w:p>
            <w:pPr>
              <w:pStyle w:val="6"/>
              <w:spacing w:before="87" w:line="190" w:lineRule="auto"/>
              <w:ind w:left="401"/>
              <w:rPr>
                <w:rFonts w:hint="eastAsia" w:eastAsia="宋体"/>
                <w:lang w:eastAsia="zh-CN"/>
              </w:rPr>
            </w:pPr>
            <w:r>
              <w:rPr>
                <w:rFonts w:hint="eastAsia"/>
                <w:spacing w:val="-7"/>
                <w:lang w:val="en-US" w:eastAsia="zh-CN"/>
              </w:rPr>
              <w:t>6</w:t>
            </w:r>
          </w:p>
        </w:tc>
        <w:tc>
          <w:tcPr>
            <w:tcW w:w="3685" w:type="dxa"/>
            <w:vAlign w:val="center"/>
          </w:tcPr>
          <w:p>
            <w:pPr>
              <w:pStyle w:val="6"/>
              <w:spacing w:before="55" w:line="229" w:lineRule="auto"/>
              <w:ind w:left="1534"/>
            </w:pPr>
            <w:r>
              <w:rPr>
                <w:spacing w:val="6"/>
              </w:rPr>
              <w:t>重金属</w:t>
            </w:r>
          </w:p>
        </w:tc>
        <w:tc>
          <w:tcPr>
            <w:tcW w:w="2892" w:type="dxa"/>
            <w:vAlign w:val="center"/>
          </w:tcPr>
          <w:p>
            <w:pPr>
              <w:pStyle w:val="6"/>
              <w:spacing w:before="55" w:line="232" w:lineRule="auto"/>
              <w:ind w:left="922"/>
            </w:pPr>
            <w:r>
              <w:t>GB</w:t>
            </w:r>
            <w:r>
              <w:rPr>
                <w:spacing w:val="3"/>
              </w:rPr>
              <w:t>/T</w:t>
            </w:r>
            <w:r>
              <w:rPr>
                <w:spacing w:val="22"/>
              </w:rPr>
              <w:t xml:space="preserve"> </w:t>
            </w:r>
            <w:r>
              <w:rPr>
                <w:spacing w:val="3"/>
              </w:rPr>
              <w:t>30799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exact"/>
        </w:trPr>
        <w:tc>
          <w:tcPr>
            <w:tcW w:w="972" w:type="dxa"/>
            <w:vAlign w:val="top"/>
          </w:tcPr>
          <w:p>
            <w:pPr>
              <w:pStyle w:val="6"/>
              <w:spacing w:before="203" w:line="190" w:lineRule="auto"/>
              <w:ind w:left="401" w:leftChars="0"/>
              <w:rPr>
                <w:rFonts w:hint="eastAsia" w:eastAsia="宋体"/>
                <w:spacing w:val="-7"/>
                <w:lang w:eastAsia="zh-CN"/>
              </w:rPr>
            </w:pPr>
            <w:r>
              <w:rPr>
                <w:rFonts w:hint="eastAsia"/>
                <w:spacing w:val="-7"/>
                <w:lang w:val="en-US" w:eastAsia="zh-CN"/>
              </w:rPr>
              <w:t>7</w:t>
            </w:r>
          </w:p>
        </w:tc>
        <w:tc>
          <w:tcPr>
            <w:tcW w:w="3685" w:type="dxa"/>
            <w:vAlign w:val="top"/>
          </w:tcPr>
          <w:p>
            <w:pPr>
              <w:pStyle w:val="6"/>
              <w:spacing w:before="56" w:line="228" w:lineRule="auto"/>
              <w:ind w:left="1430" w:leftChars="0"/>
              <w:rPr>
                <w:spacing w:val="6"/>
              </w:rPr>
            </w:pPr>
            <w:r>
              <w:rPr>
                <w:spacing w:val="6"/>
              </w:rPr>
              <w:t>大肠菌群</w:t>
            </w:r>
          </w:p>
        </w:tc>
        <w:tc>
          <w:tcPr>
            <w:tcW w:w="2892" w:type="dxa"/>
            <w:vAlign w:val="top"/>
          </w:tcPr>
          <w:p>
            <w:pPr>
              <w:pStyle w:val="6"/>
              <w:spacing w:before="37" w:line="234" w:lineRule="auto"/>
              <w:ind w:left="1345" w:leftChars="0" w:right="109" w:rightChars="0" w:hanging="1234" w:firstLineChars="0"/>
            </w:pPr>
            <w:r>
              <w:t>GB</w:t>
            </w:r>
            <w:r>
              <w:rPr>
                <w:spacing w:val="6"/>
              </w:rPr>
              <w:t xml:space="preserve"> 4789.3</w:t>
            </w:r>
            <w:r>
              <w:rPr>
                <w:spacing w:val="-26"/>
              </w:rPr>
              <w:t xml:space="preserve"> </w:t>
            </w:r>
            <w:r>
              <w:rPr>
                <w:spacing w:val="6"/>
              </w:rPr>
              <w:t>大肠菌群平板计数</w:t>
            </w:r>
            <w:r>
              <w:t xml:space="preserve"> 法</w:t>
            </w:r>
          </w:p>
        </w:tc>
      </w:tr>
    </w:tbl>
    <w:p>
      <w:pPr>
        <w:rPr>
          <w:rFonts w:ascii="Arial"/>
          <w:sz w:val="21"/>
        </w:rPr>
      </w:pPr>
    </w:p>
    <w:p>
      <w:pPr>
        <w:spacing w:line="91" w:lineRule="auto"/>
        <w:rPr>
          <w:rFonts w:ascii="Arial"/>
          <w:sz w:val="2"/>
        </w:rPr>
      </w:pP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right"/>
        <w:textAlignment w:val="baseline"/>
      </w:pPr>
      <w:r>
        <w:rPr>
          <w:spacing w:val="9"/>
          <w:position w:val="20"/>
        </w:rPr>
        <w:t>注：上表所列检验项目是有关法律法规、标准等规定的，重点涉及健康、</w:t>
      </w:r>
      <w:r>
        <w:rPr>
          <w:spacing w:val="8"/>
          <w:position w:val="20"/>
        </w:rPr>
        <w:t>安全、节能、</w:t>
      </w:r>
    </w:p>
    <w:p>
      <w:pPr>
        <w:pStyle w:val="2"/>
        <w:keepNext w:val="0"/>
        <w:keepLines w:val="0"/>
        <w:pageBreakBefore w:val="0"/>
        <w:widowControl/>
        <w:kinsoku w:val="0"/>
        <w:wordWrap/>
        <w:overflowPunct/>
        <w:topLinePunct w:val="0"/>
        <w:autoSpaceDE w:val="0"/>
        <w:autoSpaceDN w:val="0"/>
        <w:bidi w:val="0"/>
        <w:adjustRightInd/>
        <w:snapToGrid/>
        <w:spacing w:line="360" w:lineRule="auto"/>
        <w:ind w:left="0" w:right="0" w:firstLine="0" w:firstLineChars="0"/>
        <w:textAlignment w:val="baseline"/>
      </w:pPr>
      <w:r>
        <w:rPr>
          <w:spacing w:val="9"/>
        </w:rPr>
        <w:t>环保以及消费者、有关组织反映有质量问题的重要项目。</w:t>
      </w:r>
    </w:p>
    <w:p>
      <w:pPr>
        <w:pStyle w:val="2"/>
        <w:keepNext w:val="0"/>
        <w:keepLines w:val="0"/>
        <w:pageBreakBefore w:val="0"/>
        <w:widowControl/>
        <w:kinsoku w:val="0"/>
        <w:wordWrap/>
        <w:overflowPunct/>
        <w:topLinePunct w:val="0"/>
        <w:autoSpaceDE w:val="0"/>
        <w:autoSpaceDN w:val="0"/>
        <w:bidi w:val="0"/>
        <w:adjustRightInd/>
        <w:snapToGrid/>
        <w:spacing w:line="360" w:lineRule="auto"/>
        <w:ind w:right="0" w:firstLine="436" w:firstLineChars="200"/>
        <w:textAlignment w:val="baseline"/>
      </w:pPr>
      <w:r>
        <w:rPr>
          <w:spacing w:val="9"/>
        </w:rPr>
        <w:t>执行企业标准、团体标准、地方标准的产品，检验项目参照上述内容执行。</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right"/>
        <w:textAlignment w:val="baseline"/>
      </w:pPr>
      <w:r>
        <w:rPr>
          <w:spacing w:val="7"/>
          <w:position w:val="20"/>
        </w:rPr>
        <w:t>凡是注日期的文件，其随后所有的修改单（不包括勘误的内容）或修订版不适用于本细</w:t>
      </w:r>
    </w:p>
    <w:p>
      <w:pPr>
        <w:pStyle w:val="2"/>
        <w:keepNext w:val="0"/>
        <w:keepLines w:val="0"/>
        <w:pageBreakBefore w:val="0"/>
        <w:widowControl/>
        <w:kinsoku w:val="0"/>
        <w:wordWrap/>
        <w:overflowPunct/>
        <w:topLinePunct w:val="0"/>
        <w:autoSpaceDE w:val="0"/>
        <w:autoSpaceDN w:val="0"/>
        <w:bidi w:val="0"/>
        <w:adjustRightInd/>
        <w:snapToGrid/>
        <w:spacing w:line="360" w:lineRule="auto"/>
        <w:ind w:left="0" w:right="0" w:firstLine="0" w:firstLineChars="0"/>
        <w:textAlignment w:val="baseline"/>
      </w:pPr>
      <w:r>
        <w:rPr>
          <w:spacing w:val="9"/>
        </w:rPr>
        <w:t>则。凡是不注日期的文件，其最新版本适用于本细则。</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3 判定规则</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3.1 标准依据</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rFonts w:hint="eastAsia"/>
          <w:spacing w:val="7"/>
          <w:position w:val="20"/>
          <w:lang w:val="en-US" w:eastAsia="zh-CN"/>
        </w:rPr>
      </w:pPr>
      <w:r>
        <w:rPr>
          <w:rFonts w:hint="eastAsia"/>
          <w:spacing w:val="7"/>
          <w:position w:val="20"/>
          <w:lang w:val="en-US" w:eastAsia="zh-CN"/>
        </w:rPr>
        <w:t xml:space="preserve">GB/T 9985  手洗餐具用洗涤剂 </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rFonts w:hint="default"/>
          <w:spacing w:val="7"/>
          <w:position w:val="20"/>
          <w:lang w:val="en-US" w:eastAsia="zh-CN"/>
        </w:rPr>
      </w:pPr>
      <w:r>
        <w:rPr>
          <w:rFonts w:hint="eastAsia"/>
          <w:spacing w:val="7"/>
          <w:position w:val="20"/>
          <w:lang w:val="en-US" w:eastAsia="zh-CN"/>
        </w:rPr>
        <w:t>GB 14930.1 食品安全国家标准 洗涤剂</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相关的法律、行政法规、部门规章、规范性文件</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现行有效的企业标准、团体标准、地方标准及产品明示质量要求</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3.2 判定原则</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经检验，检验项目全部合格，判定为被抽查产品所检项目未发现不合格；检验项目中任</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一项或一项以上不合格，判定为被抽查产品不合格。</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若被检产品明示的质量要求高于本细则中检验项目依据的标准要求时，应按被检产品明</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示的质量要求判定。</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若被检产品明示的质量要求低于本细则中检验项目依据的强制性标准要求时，应按照强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制性标准要求判定。</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若被检产品明示的质量要求低于或包含细则中检验项目依据的推荐性标准要求时，应以</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被检产品明示的质量要求判定，但应在检验报告备注中进行说明。</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若被检产品明示的质量要求缺少本细则中检验项目依据的强制性标准要求时，应按照强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spacing w:val="7"/>
          <w:position w:val="20"/>
        </w:rPr>
      </w:pPr>
      <w:r>
        <w:rPr>
          <w:spacing w:val="7"/>
          <w:position w:val="20"/>
        </w:rPr>
        <w:t>制性标准要求判定。</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若被检产品明示的质量要求缺少本细则中检验项目依据的推荐性标准要求时，该项目不</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0" w:firstLineChars="0"/>
        <w:jc w:val="left"/>
        <w:textAlignment w:val="baseline"/>
        <w:rPr>
          <w:rFonts w:hint="eastAsia"/>
          <w:spacing w:val="7"/>
          <w:position w:val="20"/>
        </w:rPr>
      </w:pPr>
      <w:r>
        <w:rPr>
          <w:spacing w:val="7"/>
          <w:position w:val="20"/>
        </w:rPr>
        <w:t>参与判定，但应在检验报告备注中进行说明。</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color w:val="auto"/>
          <w:spacing w:val="-1"/>
          <w:sz w:val="20"/>
          <w:szCs w:val="20"/>
        </w:rPr>
      </w:pPr>
      <w:r>
        <w:rPr>
          <w:rFonts w:hint="eastAsia" w:ascii="黑体" w:hAnsi="黑体" w:eastAsia="黑体" w:cs="黑体"/>
          <w:b w:val="0"/>
          <w:bCs w:val="0"/>
          <w:color w:val="auto"/>
          <w:spacing w:val="-1"/>
          <w:sz w:val="20"/>
          <w:szCs w:val="20"/>
        </w:rPr>
        <w:t>4 异议复检</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本细则中确定的外观、气味、稳定性、总有效物、pH、重金属检验项目，采用备用样品进行复检。</w:t>
      </w:r>
    </w:p>
    <w:p>
      <w:pPr>
        <w:pStyle w:val="2"/>
        <w:keepNext w:val="0"/>
        <w:keepLines w:val="0"/>
        <w:pageBreakBefore w:val="0"/>
        <w:widowControl/>
        <w:kinsoku w:val="0"/>
        <w:wordWrap/>
        <w:overflowPunct/>
        <w:topLinePunct w:val="0"/>
        <w:autoSpaceDE w:val="0"/>
        <w:autoSpaceDN w:val="0"/>
        <w:bidi w:val="0"/>
        <w:adjustRightInd/>
        <w:snapToGrid/>
        <w:spacing w:line="240" w:lineRule="auto"/>
        <w:ind w:left="0" w:right="0" w:firstLine="428" w:firstLineChars="200"/>
        <w:jc w:val="left"/>
        <w:textAlignment w:val="baseline"/>
        <w:rPr>
          <w:spacing w:val="7"/>
          <w:position w:val="20"/>
        </w:rPr>
      </w:pPr>
      <w:r>
        <w:rPr>
          <w:spacing w:val="7"/>
          <w:position w:val="20"/>
        </w:rPr>
        <w:t>本细则中确定的大肠菌群检验项目，不进行复检。</w:t>
      </w:r>
    </w:p>
    <w:sectPr>
      <w:pgSz w:w="11906" w:h="16839"/>
      <w:pgMar w:top="1431"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Zjc3ZjlhMmFhNDM4OWQ1Y2M3OWYxYjE0NWM1MWRkNjgifQ=="/>
  </w:docVars>
  <w:rsids>
    <w:rsidRoot w:val="00000000"/>
    <w:rsid w:val="0FB72FFB"/>
    <w:rsid w:val="11BB6F91"/>
    <w:rsid w:val="1566285B"/>
    <w:rsid w:val="19930A01"/>
    <w:rsid w:val="19A76C1F"/>
    <w:rsid w:val="1C711226"/>
    <w:rsid w:val="23782997"/>
    <w:rsid w:val="2CA83FD0"/>
    <w:rsid w:val="31F32B26"/>
    <w:rsid w:val="385566F3"/>
    <w:rsid w:val="39006D26"/>
    <w:rsid w:val="44DD0E3B"/>
    <w:rsid w:val="47835CCA"/>
    <w:rsid w:val="556F21B7"/>
    <w:rsid w:val="5801390C"/>
    <w:rsid w:val="5838665C"/>
    <w:rsid w:val="604003D0"/>
    <w:rsid w:val="60BA30A2"/>
    <w:rsid w:val="73691968"/>
    <w:rsid w:val="79AA6D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2024-02-01T22:28:00Z</dcterms:created>
  <dc:creator>zhengguanxiong</dc:creator>
  <cp:lastModifiedBy>叁柒肆拾玖</cp:lastModifiedBy>
  <dcterms:modified xsi:type="dcterms:W3CDTF">2024-04-03T06:39:31Z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2024-03-07T08:57:13Z</vt:filetime>
  </property>
  <property fmtid="{D5CDD505-2E9C-101B-9397-08002B2CF9AE}" pid="4" name="KSOProductBuildVer">
    <vt:lpwstr>2052-12.1.0.16412</vt:lpwstr>
  </property>
  <property fmtid="{D5CDD505-2E9C-101B-9397-08002B2CF9AE}" pid="5" name="ICV">
    <vt:lpwstr>230C236DEA0B4767918C7BB887903981_13</vt:lpwstr>
  </property>
</Properties>
</file>