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56" w:line="219" w:lineRule="auto"/>
        <w:jc w:val="center"/>
        <w:outlineLvl w:val="0"/>
        <w:rPr>
          <w:sz w:val="28"/>
          <w:szCs w:val="28"/>
        </w:rPr>
      </w:pPr>
      <w:r>
        <w:rPr>
          <w:rFonts w:hint="eastAsia"/>
          <w:spacing w:val="-1"/>
          <w:sz w:val="28"/>
          <w:szCs w:val="28"/>
          <w:lang w:eastAsia="zh-CN"/>
          <w14:textOutline w14:w="5103" w14:cap="sq" w14:cmpd="sng">
            <w14:solidFill>
              <w14:srgbClr w14:val="000000"/>
            </w14:solidFill>
            <w14:prstDash w14:val="solid"/>
            <w14:bevel/>
          </w14:textOutline>
        </w:rPr>
        <w:t>威海火炬高技术产业开发区</w:t>
      </w:r>
      <w:r>
        <w:rPr>
          <w:spacing w:val="-1"/>
          <w:sz w:val="28"/>
          <w:szCs w:val="28"/>
          <w14:textOutline w14:w="5103" w14:cap="sq" w14:cmpd="sng">
            <w14:solidFill>
              <w14:srgbClr w14:val="000000"/>
            </w14:solidFill>
            <w14:prstDash w14:val="solid"/>
            <w14:bevel/>
          </w14:textOutline>
        </w:rPr>
        <w:t>清洗剂产品质量监督抽查实施细则</w:t>
      </w:r>
    </w:p>
    <w:p>
      <w:pPr>
        <w:pStyle w:val="2"/>
        <w:spacing w:before="212" w:line="220" w:lineRule="auto"/>
        <w:ind w:left="3306"/>
        <w:outlineLvl w:val="0"/>
        <w:rPr>
          <w:sz w:val="28"/>
          <w:szCs w:val="28"/>
        </w:rPr>
      </w:pPr>
      <w:r>
        <w:rPr>
          <w:spacing w:val="-4"/>
          <w:sz w:val="28"/>
          <w:szCs w:val="28"/>
          <w14:textOutline w14:w="5103" w14:cap="sq" w14:cmpd="sng">
            <w14:solidFill>
              <w14:srgbClr w14:val="000000"/>
            </w14:solidFill>
            <w14:prstDash w14:val="solid"/>
            <w14:bevel/>
          </w14:textOutline>
        </w:rPr>
        <w:t>（2024</w:t>
      </w:r>
      <w:r>
        <w:rPr>
          <w:spacing w:val="-52"/>
          <w:sz w:val="28"/>
          <w:szCs w:val="28"/>
        </w:rPr>
        <w:t xml:space="preserve"> </w:t>
      </w:r>
      <w:r>
        <w:rPr>
          <w:spacing w:val="-4"/>
          <w:sz w:val="28"/>
          <w:szCs w:val="28"/>
          <w14:textOutline w14:w="5103" w14:cap="sq" w14:cmpd="sng">
            <w14:solidFill>
              <w14:srgbClr w14:val="000000"/>
            </w14:solidFill>
            <w14:prstDash w14:val="solid"/>
            <w14:bevel/>
          </w14:textOutline>
        </w:rPr>
        <w:t>年版）</w:t>
      </w:r>
    </w:p>
    <w:p>
      <w:pPr>
        <w:pStyle w:val="2"/>
        <w:spacing w:before="200" w:line="228" w:lineRule="auto"/>
        <w:ind w:left="37"/>
      </w:pPr>
      <w:r>
        <w:rPr>
          <w:spacing w:val="-3"/>
          <w14:textOutline w14:w="3795" w14:cap="sq" w14:cmpd="sng">
            <w14:solidFill>
              <w14:srgbClr w14:val="000000"/>
            </w14:solidFill>
            <w14:prstDash w14:val="solid"/>
            <w14:bevel/>
          </w14:textOutline>
        </w:rPr>
        <w:t>1</w:t>
      </w:r>
      <w:r>
        <w:rPr>
          <w:spacing w:val="15"/>
        </w:rPr>
        <w:t xml:space="preserve"> </w:t>
      </w:r>
      <w:r>
        <w:rPr>
          <w:spacing w:val="-3"/>
          <w14:textOutline w14:w="3795" w14:cap="sq" w14:cmpd="sng">
            <w14:solidFill>
              <w14:srgbClr w14:val="000000"/>
            </w14:solidFill>
            <w14:prstDash w14:val="solid"/>
            <w14:bevel/>
          </w14:textOutline>
        </w:rPr>
        <w:t>抽样</w:t>
      </w:r>
    </w:p>
    <w:p>
      <w:pPr>
        <w:pStyle w:val="2"/>
        <w:spacing w:before="161" w:line="228" w:lineRule="auto"/>
        <w:ind w:left="37"/>
      </w:pPr>
      <w:r>
        <w:rPr>
          <w:spacing w:val="3"/>
        </w:rPr>
        <w:t>1.1</w:t>
      </w:r>
      <w:r>
        <w:rPr>
          <w:spacing w:val="-41"/>
        </w:rPr>
        <w:t xml:space="preserve"> </w:t>
      </w:r>
      <w:r>
        <w:rPr>
          <w:spacing w:val="3"/>
        </w:rPr>
        <w:t>抽样方法</w:t>
      </w:r>
    </w:p>
    <w:p>
      <w:pPr>
        <w:pStyle w:val="2"/>
        <w:spacing w:before="163" w:line="408" w:lineRule="exact"/>
        <w:ind w:left="463"/>
      </w:pPr>
      <w:r>
        <w:rPr>
          <w:spacing w:val="8"/>
          <w:position w:val="15"/>
        </w:rPr>
        <w:t>以随机抽样的方式在被抽样</w:t>
      </w:r>
      <w:bookmarkStart w:id="0" w:name="_GoBack"/>
      <w:bookmarkEnd w:id="0"/>
      <w:r>
        <w:rPr>
          <w:spacing w:val="8"/>
          <w:position w:val="15"/>
        </w:rPr>
        <w:t>销售者的待销产品中抽取。</w:t>
      </w:r>
    </w:p>
    <w:p>
      <w:pPr>
        <w:pStyle w:val="2"/>
        <w:spacing w:before="1" w:line="226" w:lineRule="auto"/>
        <w:ind w:left="451"/>
      </w:pPr>
      <w:r>
        <w:rPr>
          <w:spacing w:val="8"/>
        </w:rPr>
        <w:t>随机数一般可使用随机数表等方法产生。</w:t>
      </w:r>
    </w:p>
    <w:p>
      <w:pPr>
        <w:pStyle w:val="2"/>
        <w:spacing w:before="161" w:line="228" w:lineRule="auto"/>
        <w:ind w:left="37"/>
      </w:pPr>
      <w:r>
        <w:rPr>
          <w:spacing w:val="3"/>
        </w:rPr>
        <w:t>1.2</w:t>
      </w:r>
      <w:r>
        <w:rPr>
          <w:spacing w:val="-41"/>
        </w:rPr>
        <w:t xml:space="preserve"> </w:t>
      </w:r>
      <w:r>
        <w:rPr>
          <w:spacing w:val="3"/>
        </w:rPr>
        <w:t>抽样基数</w:t>
      </w:r>
    </w:p>
    <w:p>
      <w:pPr>
        <w:pStyle w:val="2"/>
        <w:spacing w:before="161" w:line="228" w:lineRule="auto"/>
        <w:ind w:left="439"/>
      </w:pPr>
      <w:r>
        <w:rPr>
          <w:spacing w:val="8"/>
        </w:rPr>
        <w:t>抽查样品基数满足抽样数量即可。</w:t>
      </w:r>
    </w:p>
    <w:p>
      <w:pPr>
        <w:pStyle w:val="2"/>
        <w:spacing w:before="161" w:line="228" w:lineRule="auto"/>
        <w:ind w:left="37"/>
      </w:pPr>
      <w:r>
        <w:rPr>
          <w:spacing w:val="3"/>
        </w:rPr>
        <w:t>1.3</w:t>
      </w:r>
      <w:r>
        <w:rPr>
          <w:spacing w:val="-41"/>
        </w:rPr>
        <w:t xml:space="preserve"> </w:t>
      </w:r>
      <w:r>
        <w:rPr>
          <w:spacing w:val="3"/>
        </w:rPr>
        <w:t>抽样范围</w:t>
      </w:r>
    </w:p>
    <w:p>
      <w:pPr>
        <w:pStyle w:val="2"/>
        <w:spacing w:before="162" w:line="227" w:lineRule="auto"/>
        <w:ind w:left="439"/>
      </w:pPr>
      <w:r>
        <w:rPr>
          <w:spacing w:val="9"/>
        </w:rPr>
        <w:t>抽查产品种类包括水基清洗剂、半水基清洗剂和有机溶剂清洗剂。</w:t>
      </w:r>
    </w:p>
    <w:p>
      <w:pPr>
        <w:pStyle w:val="2"/>
        <w:spacing w:before="164" w:line="228" w:lineRule="auto"/>
        <w:ind w:left="37"/>
      </w:pPr>
      <w:r>
        <w:rPr>
          <w:spacing w:val="3"/>
        </w:rPr>
        <w:t>1.4</w:t>
      </w:r>
      <w:r>
        <w:rPr>
          <w:spacing w:val="-41"/>
        </w:rPr>
        <w:t xml:space="preserve"> </w:t>
      </w:r>
      <w:r>
        <w:rPr>
          <w:spacing w:val="3"/>
        </w:rPr>
        <w:t>抽样数量</w:t>
      </w:r>
    </w:p>
    <w:p>
      <w:pPr>
        <w:pStyle w:val="2"/>
        <w:spacing w:before="162" w:line="377" w:lineRule="auto"/>
        <w:ind w:left="22" w:right="4" w:firstLine="417"/>
        <w:jc w:val="both"/>
      </w:pPr>
      <w:r>
        <w:rPr>
          <w:spacing w:val="1"/>
        </w:rPr>
        <w:t>每批次产品抽取不少于</w:t>
      </w:r>
      <w:r>
        <w:rPr>
          <w:spacing w:val="-35"/>
        </w:rPr>
        <w:t xml:space="preserve"> </w:t>
      </w:r>
      <w:r>
        <w:rPr>
          <w:spacing w:val="1"/>
        </w:rPr>
        <w:t>2</w:t>
      </w:r>
      <w:r>
        <w:rPr>
          <w:spacing w:val="-38"/>
        </w:rPr>
        <w:t xml:space="preserve"> </w:t>
      </w:r>
      <w:r>
        <w:rPr>
          <w:spacing w:val="1"/>
        </w:rPr>
        <w:t>个独立包装、总量不少于</w:t>
      </w:r>
      <w:r>
        <w:rPr>
          <w:spacing w:val="-34"/>
        </w:rPr>
        <w:t xml:space="preserve"> </w:t>
      </w:r>
      <w:r>
        <w:rPr>
          <w:spacing w:val="1"/>
        </w:rPr>
        <w:t>2</w:t>
      </w:r>
      <w:r>
        <w:rPr>
          <w:spacing w:val="-39"/>
        </w:rPr>
        <w:t xml:space="preserve"> </w:t>
      </w:r>
      <w:r>
        <w:rPr>
          <w:spacing w:val="1"/>
        </w:rPr>
        <w:t>升的样品，其中</w:t>
      </w:r>
      <w:r>
        <w:rPr>
          <w:spacing w:val="-21"/>
        </w:rPr>
        <w:t xml:space="preserve"> </w:t>
      </w:r>
      <w:r>
        <w:rPr>
          <w:spacing w:val="1"/>
        </w:rPr>
        <w:t>1/2</w:t>
      </w:r>
      <w:r>
        <w:rPr>
          <w:spacing w:val="-40"/>
        </w:rPr>
        <w:t xml:space="preserve"> </w:t>
      </w:r>
      <w:r>
        <w:rPr>
          <w:spacing w:val="1"/>
        </w:rPr>
        <w:t>作为检验样</w:t>
      </w:r>
      <w:r>
        <w:t xml:space="preserve">品， </w:t>
      </w:r>
      <w:r>
        <w:rPr>
          <w:spacing w:val="9"/>
        </w:rPr>
        <w:t>1/2</w:t>
      </w:r>
      <w:r>
        <w:rPr>
          <w:spacing w:val="-38"/>
        </w:rPr>
        <w:t xml:space="preserve"> </w:t>
      </w:r>
      <w:r>
        <w:rPr>
          <w:spacing w:val="9"/>
        </w:rPr>
        <w:t>作为备用样品。当产品独立包装＞10</w:t>
      </w:r>
      <w:r>
        <w:rPr>
          <w:spacing w:val="-36"/>
        </w:rPr>
        <w:t xml:space="preserve"> </w:t>
      </w:r>
      <w:r>
        <w:rPr>
          <w:spacing w:val="9"/>
        </w:rPr>
        <w:t>升或在成品罐抽样时，应按</w:t>
      </w:r>
      <w:r>
        <w:rPr>
          <w:spacing w:val="-41"/>
        </w:rPr>
        <w:t xml:space="preserve"> </w:t>
      </w:r>
      <w:r>
        <w:t>GB</w:t>
      </w:r>
      <w:r>
        <w:rPr>
          <w:spacing w:val="9"/>
        </w:rPr>
        <w:t>/T 6680-20</w:t>
      </w:r>
      <w:r>
        <w:rPr>
          <w:spacing w:val="8"/>
        </w:rPr>
        <w:t>03《液</w:t>
      </w:r>
      <w:r>
        <w:t xml:space="preserve"> </w:t>
      </w:r>
      <w:r>
        <w:rPr>
          <w:spacing w:val="1"/>
        </w:rPr>
        <w:t>体化工产品采样通则》取样，抽取不少于</w:t>
      </w:r>
      <w:r>
        <w:rPr>
          <w:spacing w:val="-22"/>
        </w:rPr>
        <w:t xml:space="preserve"> </w:t>
      </w:r>
      <w:r>
        <w:rPr>
          <w:spacing w:val="1"/>
        </w:rPr>
        <w:t>2</w:t>
      </w:r>
      <w:r>
        <w:rPr>
          <w:spacing w:val="-36"/>
        </w:rPr>
        <w:t xml:space="preserve"> </w:t>
      </w:r>
      <w:r>
        <w:rPr>
          <w:spacing w:val="1"/>
        </w:rPr>
        <w:t>升样品，平均分为</w:t>
      </w:r>
      <w:r>
        <w:rPr>
          <w:spacing w:val="-34"/>
        </w:rPr>
        <w:t xml:space="preserve"> </w:t>
      </w:r>
      <w:r>
        <w:rPr>
          <w:spacing w:val="1"/>
        </w:rPr>
        <w:t>2</w:t>
      </w:r>
      <w:r>
        <w:rPr>
          <w:spacing w:val="-41"/>
        </w:rPr>
        <w:t xml:space="preserve"> </w:t>
      </w:r>
      <w:r>
        <w:rPr>
          <w:spacing w:val="1"/>
        </w:rPr>
        <w:t>份，其中</w:t>
      </w:r>
      <w:r>
        <w:rPr>
          <w:spacing w:val="-21"/>
        </w:rPr>
        <w:t xml:space="preserve"> </w:t>
      </w:r>
      <w:r>
        <w:rPr>
          <w:spacing w:val="1"/>
        </w:rPr>
        <w:t>1</w:t>
      </w:r>
      <w:r>
        <w:rPr>
          <w:spacing w:val="-38"/>
        </w:rPr>
        <w:t xml:space="preserve"> </w:t>
      </w:r>
      <w:r>
        <w:rPr>
          <w:spacing w:val="1"/>
        </w:rPr>
        <w:t>份作为检验样品，</w:t>
      </w:r>
    </w:p>
    <w:p>
      <w:pPr>
        <w:pStyle w:val="2"/>
        <w:spacing w:before="1" w:line="227" w:lineRule="auto"/>
        <w:ind w:left="27"/>
      </w:pPr>
      <w:r>
        <w:rPr>
          <w:spacing w:val="3"/>
        </w:rPr>
        <w:t>另</w:t>
      </w:r>
      <w:r>
        <w:rPr>
          <w:spacing w:val="-20"/>
        </w:rPr>
        <w:t xml:space="preserve"> </w:t>
      </w:r>
      <w:r>
        <w:rPr>
          <w:spacing w:val="3"/>
        </w:rPr>
        <w:t>1</w:t>
      </w:r>
      <w:r>
        <w:rPr>
          <w:spacing w:val="-38"/>
        </w:rPr>
        <w:t xml:space="preserve"> </w:t>
      </w:r>
      <w:r>
        <w:rPr>
          <w:spacing w:val="3"/>
        </w:rPr>
        <w:t>份作为备用样品。</w:t>
      </w:r>
    </w:p>
    <w:p>
      <w:pPr>
        <w:pStyle w:val="2"/>
        <w:spacing w:before="260" w:line="228" w:lineRule="auto"/>
        <w:ind w:left="24"/>
      </w:pPr>
      <w:r>
        <w:rPr>
          <w:spacing w:val="8"/>
          <w14:textOutline w14:w="3795" w14:cap="sq" w14:cmpd="sng">
            <w14:solidFill>
              <w14:srgbClr w14:val="000000"/>
            </w14:solidFill>
            <w14:prstDash w14:val="solid"/>
            <w14:bevel/>
          </w14:textOutline>
        </w:rPr>
        <w:t>2</w:t>
      </w:r>
      <w:r>
        <w:rPr>
          <w:spacing w:val="8"/>
        </w:rPr>
        <w:t xml:space="preserve"> </w:t>
      </w:r>
      <w:r>
        <w:rPr>
          <w:spacing w:val="8"/>
          <w14:textOutline w14:w="3795" w14:cap="sq" w14:cmpd="sng">
            <w14:solidFill>
              <w14:srgbClr w14:val="000000"/>
            </w14:solidFill>
            <w14:prstDash w14:val="solid"/>
            <w14:bevel/>
          </w14:textOutline>
        </w:rPr>
        <w:t>检验项目及检测方法</w:t>
      </w:r>
    </w:p>
    <w:p>
      <w:pPr>
        <w:pStyle w:val="2"/>
        <w:spacing w:before="264" w:line="227" w:lineRule="auto"/>
        <w:ind w:left="2987"/>
      </w:pPr>
      <w:r>
        <w:rPr>
          <w:spacing w:val="7"/>
          <w14:textOutline w14:w="3795" w14:cap="sq" w14:cmpd="sng">
            <w14:solidFill>
              <w14:srgbClr w14:val="000000"/>
            </w14:solidFill>
            <w14:prstDash w14:val="solid"/>
            <w14:bevel/>
          </w14:textOutline>
        </w:rPr>
        <w:t>表</w:t>
      </w:r>
      <w:r>
        <w:rPr>
          <w:spacing w:val="-22"/>
        </w:rPr>
        <w:t xml:space="preserve"> </w:t>
      </w:r>
      <w:r>
        <w:rPr>
          <w:spacing w:val="7"/>
          <w14:textOutline w14:w="3795" w14:cap="sq" w14:cmpd="sng">
            <w14:solidFill>
              <w14:srgbClr w14:val="000000"/>
            </w14:solidFill>
            <w14:prstDash w14:val="solid"/>
            <w14:bevel/>
          </w14:textOutline>
        </w:rPr>
        <w:t>1</w:t>
      </w:r>
      <w:r>
        <w:rPr>
          <w:spacing w:val="7"/>
        </w:rPr>
        <w:t xml:space="preserve"> </w:t>
      </w:r>
      <w:r>
        <w:rPr>
          <w:spacing w:val="7"/>
          <w14:textOutline w14:w="3795" w14:cap="sq" w14:cmpd="sng">
            <w14:solidFill>
              <w14:srgbClr w14:val="000000"/>
            </w14:solidFill>
            <w14:prstDash w14:val="solid"/>
            <w14:bevel/>
          </w14:textOutline>
        </w:rPr>
        <w:t>清洗剂产品检验项目</w:t>
      </w:r>
    </w:p>
    <w:p>
      <w:pPr>
        <w:spacing w:line="22" w:lineRule="exact"/>
      </w:pPr>
    </w:p>
    <w:tbl>
      <w:tblPr>
        <w:tblStyle w:val="5"/>
        <w:tblW w:w="7508" w:type="dxa"/>
        <w:tblInd w:w="41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75"/>
        <w:gridCol w:w="3712"/>
        <w:gridCol w:w="2521"/>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275" w:type="dxa"/>
            <w:vAlign w:val="top"/>
          </w:tcPr>
          <w:p>
            <w:pPr>
              <w:pStyle w:val="6"/>
              <w:spacing w:before="104" w:line="229" w:lineRule="auto"/>
              <w:ind w:left="431"/>
            </w:pPr>
            <w:r>
              <w:rPr>
                <w:spacing w:val="5"/>
              </w:rPr>
              <w:t>序号</w:t>
            </w:r>
          </w:p>
        </w:tc>
        <w:tc>
          <w:tcPr>
            <w:tcW w:w="3712" w:type="dxa"/>
            <w:vAlign w:val="top"/>
          </w:tcPr>
          <w:p>
            <w:pPr>
              <w:pStyle w:val="6"/>
              <w:spacing w:before="104" w:line="228" w:lineRule="auto"/>
              <w:ind w:left="1439"/>
            </w:pPr>
            <w:r>
              <w:rPr>
                <w:spacing w:val="7"/>
              </w:rPr>
              <w:t>检验项目</w:t>
            </w:r>
          </w:p>
        </w:tc>
        <w:tc>
          <w:tcPr>
            <w:tcW w:w="2521" w:type="dxa"/>
            <w:vAlign w:val="top"/>
          </w:tcPr>
          <w:p>
            <w:pPr>
              <w:pStyle w:val="6"/>
              <w:spacing w:before="104" w:line="228" w:lineRule="auto"/>
              <w:ind w:left="845"/>
            </w:pPr>
            <w:r>
              <w:rPr>
                <w:spacing w:val="7"/>
              </w:rPr>
              <w:t>检测方法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1275" w:type="dxa"/>
            <w:vAlign w:val="top"/>
          </w:tcPr>
          <w:p>
            <w:pPr>
              <w:spacing w:line="331" w:lineRule="auto"/>
              <w:rPr>
                <w:rFonts w:ascii="Arial"/>
                <w:sz w:val="21"/>
              </w:rPr>
            </w:pPr>
          </w:p>
          <w:p>
            <w:pPr>
              <w:pStyle w:val="6"/>
              <w:spacing w:before="65" w:line="189" w:lineRule="auto"/>
              <w:ind w:left="606"/>
            </w:pPr>
            <w:r>
              <w:t>1</w:t>
            </w:r>
          </w:p>
        </w:tc>
        <w:tc>
          <w:tcPr>
            <w:tcW w:w="3712" w:type="dxa"/>
            <w:vAlign w:val="top"/>
          </w:tcPr>
          <w:p>
            <w:pPr>
              <w:spacing w:line="298" w:lineRule="auto"/>
              <w:rPr>
                <w:rFonts w:ascii="Arial"/>
                <w:sz w:val="21"/>
              </w:rPr>
            </w:pPr>
          </w:p>
          <w:p>
            <w:pPr>
              <w:pStyle w:val="6"/>
              <w:spacing w:before="65" w:line="228" w:lineRule="auto"/>
              <w:ind w:left="1461"/>
            </w:pPr>
            <w:r>
              <w:t>VOC</w:t>
            </w:r>
            <w:r>
              <w:rPr>
                <w:spacing w:val="-40"/>
              </w:rPr>
              <w:t xml:space="preserve"> </w:t>
            </w:r>
            <w:r>
              <w:rPr>
                <w:spacing w:val="10"/>
              </w:rPr>
              <w:t>含量</w:t>
            </w:r>
          </w:p>
        </w:tc>
        <w:tc>
          <w:tcPr>
            <w:tcW w:w="2521" w:type="dxa"/>
            <w:vAlign w:val="top"/>
          </w:tcPr>
          <w:p>
            <w:pPr>
              <w:pStyle w:val="6"/>
              <w:spacing w:before="54" w:line="269" w:lineRule="auto"/>
              <w:ind w:left="475" w:right="470" w:firstLine="52"/>
              <w:jc w:val="both"/>
            </w:pPr>
            <w:r>
              <w:t>GB</w:t>
            </w:r>
            <w:r>
              <w:rPr>
                <w:spacing w:val="5"/>
              </w:rPr>
              <w:t>/T 6283-2008</w:t>
            </w:r>
            <w:r>
              <w:rPr>
                <w:spacing w:val="3"/>
              </w:rPr>
              <w:t xml:space="preserve"> </w:t>
            </w:r>
            <w:r>
              <w:t>GB</w:t>
            </w:r>
            <w:r>
              <w:rPr>
                <w:spacing w:val="9"/>
              </w:rPr>
              <w:t>/T 4472-2011</w:t>
            </w:r>
            <w:r>
              <w:rPr>
                <w:spacing w:val="8"/>
              </w:rPr>
              <w:t xml:space="preserve"> </w:t>
            </w:r>
            <w:r>
              <w:t>GB</w:t>
            </w:r>
            <w:r>
              <w:rPr>
                <w:spacing w:val="3"/>
              </w:rPr>
              <w:t>/T</w:t>
            </w:r>
            <w:r>
              <w:rPr>
                <w:spacing w:val="33"/>
              </w:rPr>
              <w:t xml:space="preserve"> </w:t>
            </w:r>
            <w:r>
              <w:rPr>
                <w:spacing w:val="3"/>
              </w:rPr>
              <w:t>13173-2008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275" w:type="dxa"/>
            <w:vAlign w:val="top"/>
          </w:tcPr>
          <w:p>
            <w:pPr>
              <w:pStyle w:val="6"/>
              <w:spacing w:before="243" w:line="189" w:lineRule="auto"/>
              <w:ind w:left="593"/>
            </w:pPr>
            <w:r>
              <w:t>2</w:t>
            </w:r>
          </w:p>
        </w:tc>
        <w:tc>
          <w:tcPr>
            <w:tcW w:w="3712" w:type="dxa"/>
            <w:vAlign w:val="top"/>
          </w:tcPr>
          <w:p>
            <w:pPr>
              <w:pStyle w:val="6"/>
              <w:spacing w:before="54" w:line="258" w:lineRule="auto"/>
              <w:ind w:left="1460" w:right="105" w:hanging="1344"/>
            </w:pPr>
            <w:r>
              <w:rPr>
                <w:spacing w:val="5"/>
              </w:rPr>
              <w:t>二氯甲烷、三氯甲烷、三氯乙烯、四氯</w:t>
            </w:r>
            <w:r>
              <w:t xml:space="preserve"> </w:t>
            </w:r>
            <w:r>
              <w:rPr>
                <w:spacing w:val="2"/>
              </w:rPr>
              <w:t>乙烯总和</w:t>
            </w:r>
          </w:p>
        </w:tc>
        <w:tc>
          <w:tcPr>
            <w:tcW w:w="2521" w:type="dxa"/>
            <w:vAlign w:val="top"/>
          </w:tcPr>
          <w:p>
            <w:pPr>
              <w:pStyle w:val="6"/>
              <w:spacing w:before="210" w:line="233" w:lineRule="auto"/>
              <w:ind w:left="475"/>
            </w:pPr>
            <w:r>
              <w:t>GB</w:t>
            </w:r>
            <w:r>
              <w:rPr>
                <w:spacing w:val="5"/>
              </w:rPr>
              <w:t>/T 23992-2009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3" w:hRule="atLeast"/>
        </w:trPr>
        <w:tc>
          <w:tcPr>
            <w:tcW w:w="1275" w:type="dxa"/>
            <w:vAlign w:val="top"/>
          </w:tcPr>
          <w:p>
            <w:pPr>
              <w:pStyle w:val="6"/>
              <w:spacing w:before="136" w:line="189" w:lineRule="auto"/>
              <w:ind w:left="595"/>
            </w:pPr>
            <w:r>
              <w:t>3</w:t>
            </w:r>
          </w:p>
        </w:tc>
        <w:tc>
          <w:tcPr>
            <w:tcW w:w="3712" w:type="dxa"/>
            <w:vAlign w:val="top"/>
          </w:tcPr>
          <w:p>
            <w:pPr>
              <w:pStyle w:val="6"/>
              <w:spacing w:before="103" w:line="231" w:lineRule="auto"/>
              <w:ind w:left="1678"/>
            </w:pPr>
            <w:r>
              <w:rPr>
                <w:spacing w:val="-9"/>
              </w:rPr>
              <w:t>甲醛</w:t>
            </w:r>
          </w:p>
        </w:tc>
        <w:tc>
          <w:tcPr>
            <w:tcW w:w="2521" w:type="dxa"/>
            <w:vAlign w:val="top"/>
          </w:tcPr>
          <w:p>
            <w:pPr>
              <w:pStyle w:val="6"/>
              <w:spacing w:before="103" w:line="233" w:lineRule="auto"/>
              <w:ind w:left="475"/>
            </w:pPr>
            <w:r>
              <w:t>GB</w:t>
            </w:r>
            <w:r>
              <w:rPr>
                <w:spacing w:val="5"/>
              </w:rPr>
              <w:t>/T 23993-2009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275" w:type="dxa"/>
            <w:vAlign w:val="top"/>
          </w:tcPr>
          <w:p>
            <w:pPr>
              <w:pStyle w:val="6"/>
              <w:spacing w:before="135" w:line="189" w:lineRule="auto"/>
              <w:ind w:left="590"/>
            </w:pPr>
            <w:r>
              <w:t>4</w:t>
            </w:r>
          </w:p>
        </w:tc>
        <w:tc>
          <w:tcPr>
            <w:tcW w:w="3712" w:type="dxa"/>
            <w:vAlign w:val="top"/>
          </w:tcPr>
          <w:p>
            <w:pPr>
              <w:pStyle w:val="6"/>
              <w:spacing w:before="103" w:line="227" w:lineRule="auto"/>
              <w:ind w:left="499"/>
            </w:pPr>
            <w:r>
              <w:rPr>
                <w:spacing w:val="5"/>
              </w:rPr>
              <w:t>苯、</w:t>
            </w:r>
            <w:r>
              <w:rPr>
                <w:spacing w:val="-48"/>
              </w:rPr>
              <w:t xml:space="preserve"> </w:t>
            </w:r>
            <w:r>
              <w:rPr>
                <w:spacing w:val="5"/>
              </w:rPr>
              <w:t>甲苯、乙苯和二甲苯总和</w:t>
            </w:r>
          </w:p>
        </w:tc>
        <w:tc>
          <w:tcPr>
            <w:tcW w:w="2521" w:type="dxa"/>
            <w:vAlign w:val="top"/>
          </w:tcPr>
          <w:p>
            <w:pPr>
              <w:pStyle w:val="6"/>
              <w:spacing w:before="102" w:line="233" w:lineRule="auto"/>
              <w:ind w:left="475"/>
            </w:pPr>
            <w:r>
              <w:t>GB</w:t>
            </w:r>
            <w:r>
              <w:rPr>
                <w:spacing w:val="5"/>
              </w:rPr>
              <w:t>/T 23990-2009</w:t>
            </w:r>
          </w:p>
        </w:tc>
      </w:tr>
    </w:tbl>
    <w:p>
      <w:pPr>
        <w:pStyle w:val="2"/>
        <w:spacing w:before="32" w:line="408" w:lineRule="exact"/>
        <w:jc w:val="right"/>
      </w:pPr>
      <w:r>
        <w:rPr>
          <w:spacing w:val="9"/>
          <w:position w:val="15"/>
        </w:rPr>
        <w:t>注：上表所列检验项目是有关法律法规、标准等规定的，重点涉及</w:t>
      </w:r>
      <w:r>
        <w:rPr>
          <w:spacing w:val="8"/>
          <w:position w:val="15"/>
        </w:rPr>
        <w:t>健康、安全、节能、</w:t>
      </w:r>
    </w:p>
    <w:p>
      <w:pPr>
        <w:pStyle w:val="2"/>
        <w:spacing w:line="228" w:lineRule="auto"/>
        <w:ind w:left="22"/>
      </w:pPr>
      <w:r>
        <w:rPr>
          <w:spacing w:val="9"/>
        </w:rPr>
        <w:t>环保以及消费者、有关组织反映有质量问题的重要项目。</w:t>
      </w:r>
    </w:p>
    <w:p>
      <w:pPr>
        <w:pStyle w:val="2"/>
        <w:spacing w:before="161" w:line="228" w:lineRule="auto"/>
        <w:ind w:left="439"/>
      </w:pPr>
      <w:r>
        <w:rPr>
          <w:spacing w:val="9"/>
        </w:rPr>
        <w:t>执行企业标准、团体标准、地方标准的产品，检验项目参照上述内容执行。</w:t>
      </w:r>
    </w:p>
    <w:p>
      <w:pPr>
        <w:pStyle w:val="2"/>
        <w:spacing w:before="161" w:line="410" w:lineRule="exact"/>
        <w:ind w:right="58"/>
        <w:jc w:val="right"/>
      </w:pPr>
      <w:r>
        <w:rPr>
          <w:spacing w:val="7"/>
          <w:position w:val="15"/>
        </w:rPr>
        <w:t>凡是注日期的文件，其随后所有的修改单（不包括勘误的内容）或修订版不适用于本细</w:t>
      </w:r>
    </w:p>
    <w:p>
      <w:pPr>
        <w:pStyle w:val="2"/>
        <w:spacing w:before="1" w:line="226" w:lineRule="auto"/>
        <w:ind w:left="26"/>
      </w:pPr>
      <w:r>
        <w:rPr>
          <w:spacing w:val="9"/>
        </w:rPr>
        <w:t>则。凡是不注日期的文件，其最新版本适用于本细则。</w:t>
      </w:r>
    </w:p>
    <w:p>
      <w:pPr>
        <w:pStyle w:val="2"/>
        <w:spacing w:before="163" w:line="228" w:lineRule="auto"/>
        <w:ind w:left="22"/>
      </w:pPr>
      <w:r>
        <w:rPr>
          <w:rFonts w:ascii="黑体" w:hAnsi="黑体" w:eastAsia="黑体" w:cs="黑体"/>
          <w:spacing w:val="6"/>
          <w14:textOutline w14:w="3795" w14:cap="sq" w14:cmpd="sng">
            <w14:solidFill>
              <w14:srgbClr w14:val="000000"/>
            </w14:solidFill>
            <w14:prstDash w14:val="solid"/>
            <w14:bevel/>
          </w14:textOutline>
        </w:rPr>
        <w:t>3</w:t>
      </w:r>
      <w:r>
        <w:rPr>
          <w:rFonts w:ascii="黑体" w:hAnsi="黑体" w:eastAsia="黑体" w:cs="黑体"/>
          <w:spacing w:val="14"/>
        </w:rPr>
        <w:t xml:space="preserve"> </w:t>
      </w:r>
      <w:r>
        <w:rPr>
          <w:spacing w:val="6"/>
          <w14:textOutline w14:w="3795" w14:cap="sq" w14:cmpd="sng">
            <w14:solidFill>
              <w14:srgbClr w14:val="000000"/>
            </w14:solidFill>
            <w14:prstDash w14:val="solid"/>
            <w14:bevel/>
          </w14:textOutline>
        </w:rPr>
        <w:t>判定规则</w:t>
      </w:r>
    </w:p>
    <w:p>
      <w:pPr>
        <w:pStyle w:val="2"/>
        <w:spacing w:before="161" w:line="227" w:lineRule="auto"/>
        <w:ind w:left="26"/>
      </w:pPr>
      <w:r>
        <w:rPr>
          <w:spacing w:val="4"/>
        </w:rPr>
        <w:t>3.1</w:t>
      </w:r>
      <w:r>
        <w:rPr>
          <w:spacing w:val="-37"/>
        </w:rPr>
        <w:t xml:space="preserve"> </w:t>
      </w:r>
      <w:r>
        <w:rPr>
          <w:spacing w:val="4"/>
        </w:rPr>
        <w:t>依据标准</w:t>
      </w:r>
    </w:p>
    <w:p>
      <w:pPr>
        <w:pStyle w:val="2"/>
        <w:spacing w:before="162" w:line="408" w:lineRule="exact"/>
        <w:ind w:left="439"/>
      </w:pPr>
      <w:r>
        <w:rPr>
          <w:position w:val="15"/>
        </w:rPr>
        <w:t>GB</w:t>
      </w:r>
      <w:r>
        <w:rPr>
          <w:spacing w:val="8"/>
          <w:position w:val="15"/>
        </w:rPr>
        <w:t xml:space="preserve"> 38508-2020  清洗剂挥发性有</w:t>
      </w:r>
      <w:r>
        <w:rPr>
          <w:spacing w:val="7"/>
          <w:position w:val="15"/>
        </w:rPr>
        <w:t>机化合物含量限值</w:t>
      </w:r>
    </w:p>
    <w:p>
      <w:pPr>
        <w:pStyle w:val="2"/>
        <w:spacing w:before="1" w:line="226" w:lineRule="auto"/>
        <w:ind w:left="442"/>
      </w:pPr>
      <w:r>
        <w:rPr>
          <w:spacing w:val="9"/>
        </w:rPr>
        <w:t>相关的法律、行政法规、部门规章、规范性文件</w:t>
      </w:r>
    </w:p>
    <w:p>
      <w:pPr>
        <w:spacing w:line="226" w:lineRule="auto"/>
        <w:sectPr>
          <w:pgSz w:w="11906" w:h="16839"/>
          <w:pgMar w:top="1424" w:right="1743" w:bottom="0" w:left="1785" w:header="0" w:footer="0" w:gutter="0"/>
          <w:cols w:space="720" w:num="1"/>
        </w:sectPr>
      </w:pPr>
    </w:p>
    <w:p>
      <w:pPr>
        <w:pStyle w:val="2"/>
        <w:spacing w:before="41" w:line="408" w:lineRule="exact"/>
        <w:ind w:left="443"/>
      </w:pPr>
      <w:r>
        <w:rPr>
          <w:spacing w:val="9"/>
          <w:position w:val="15"/>
        </w:rPr>
        <w:t>现行有效的企业标准、团体标准、地方标准及产品明示质量要求</w:t>
      </w:r>
    </w:p>
    <w:p>
      <w:pPr>
        <w:pStyle w:val="2"/>
        <w:spacing w:line="228" w:lineRule="auto"/>
        <w:ind w:left="26"/>
      </w:pPr>
      <w:r>
        <w:rPr>
          <w:spacing w:val="4"/>
        </w:rPr>
        <w:t>3.2</w:t>
      </w:r>
      <w:r>
        <w:rPr>
          <w:spacing w:val="-37"/>
        </w:rPr>
        <w:t xml:space="preserve"> </w:t>
      </w:r>
      <w:r>
        <w:rPr>
          <w:spacing w:val="4"/>
        </w:rPr>
        <w:t>判定原则</w:t>
      </w:r>
    </w:p>
    <w:p>
      <w:pPr>
        <w:pStyle w:val="2"/>
        <w:spacing w:before="304" w:line="439" w:lineRule="exact"/>
        <w:ind w:right="15"/>
        <w:jc w:val="right"/>
      </w:pPr>
      <w:r>
        <w:rPr>
          <w:spacing w:val="7"/>
          <w:position w:val="17"/>
        </w:rPr>
        <w:t>经检验，检验项目全部合格，判定为被抽查产品所检项目未发现不合格；检验项目中任</w:t>
      </w:r>
    </w:p>
    <w:p>
      <w:pPr>
        <w:pStyle w:val="2"/>
        <w:spacing w:line="227" w:lineRule="auto"/>
        <w:ind w:left="25"/>
      </w:pPr>
      <w:r>
        <w:rPr>
          <w:spacing w:val="9"/>
        </w:rPr>
        <w:t>一项或一项以上不合格，判定为被抽查产品不合</w:t>
      </w:r>
      <w:r>
        <w:rPr>
          <w:spacing w:val="8"/>
        </w:rPr>
        <w:t>格。</w:t>
      </w:r>
    </w:p>
    <w:p>
      <w:pPr>
        <w:pStyle w:val="2"/>
        <w:spacing w:before="193" w:line="441" w:lineRule="exact"/>
        <w:ind w:right="15"/>
        <w:jc w:val="right"/>
      </w:pPr>
      <w:r>
        <w:rPr>
          <w:spacing w:val="7"/>
          <w:position w:val="18"/>
        </w:rPr>
        <w:t>若被检产品明示的质量要求高于本细则中检验项目依据的标准要求时，应按被检产品明</w:t>
      </w:r>
    </w:p>
    <w:p>
      <w:pPr>
        <w:pStyle w:val="2"/>
        <w:spacing w:before="1" w:line="228" w:lineRule="auto"/>
        <w:ind w:left="23"/>
      </w:pPr>
      <w:r>
        <w:rPr>
          <w:spacing w:val="7"/>
        </w:rPr>
        <w:t>示的质量要求判定。</w:t>
      </w:r>
    </w:p>
    <w:p>
      <w:pPr>
        <w:pStyle w:val="2"/>
        <w:spacing w:before="192" w:line="439" w:lineRule="exact"/>
        <w:ind w:right="15"/>
        <w:jc w:val="right"/>
      </w:pPr>
      <w:r>
        <w:rPr>
          <w:spacing w:val="7"/>
          <w:position w:val="18"/>
        </w:rPr>
        <w:t>若被检产品明示的质量要求低于本细则中检验项目依据的强制性标准要求时，应按照强</w:t>
      </w:r>
    </w:p>
    <w:p>
      <w:pPr>
        <w:pStyle w:val="2"/>
        <w:spacing w:line="228" w:lineRule="auto"/>
        <w:ind w:left="23"/>
      </w:pPr>
      <w:r>
        <w:rPr>
          <w:spacing w:val="7"/>
        </w:rPr>
        <w:t>制性标准要求判定。</w:t>
      </w:r>
    </w:p>
    <w:p>
      <w:pPr>
        <w:pStyle w:val="2"/>
        <w:spacing w:before="194" w:line="440" w:lineRule="exact"/>
        <w:ind w:right="15"/>
        <w:jc w:val="right"/>
      </w:pPr>
      <w:r>
        <w:rPr>
          <w:spacing w:val="7"/>
          <w:position w:val="18"/>
        </w:rPr>
        <w:t>若被检产品明示的质量要求低于或包含本细则中检验项目依据的推荐性标准要求时，应</w:t>
      </w:r>
    </w:p>
    <w:p>
      <w:pPr>
        <w:pStyle w:val="2"/>
        <w:spacing w:line="227" w:lineRule="auto"/>
        <w:ind w:left="45"/>
      </w:pPr>
      <w:r>
        <w:rPr>
          <w:spacing w:val="7"/>
        </w:rPr>
        <w:t>以被检产品明示的质量要求判定。</w:t>
      </w:r>
    </w:p>
    <w:p>
      <w:pPr>
        <w:pStyle w:val="2"/>
        <w:spacing w:before="193" w:line="441" w:lineRule="exact"/>
        <w:ind w:right="15"/>
        <w:jc w:val="right"/>
      </w:pPr>
      <w:r>
        <w:rPr>
          <w:spacing w:val="7"/>
          <w:position w:val="18"/>
        </w:rPr>
        <w:t>若被检产品明示的质量要求缺少本细则中检验项目依据的强制性标准要求时，应按照强</w:t>
      </w:r>
    </w:p>
    <w:p>
      <w:pPr>
        <w:pStyle w:val="2"/>
        <w:spacing w:before="1" w:line="228" w:lineRule="auto"/>
        <w:ind w:left="23"/>
      </w:pPr>
      <w:r>
        <w:rPr>
          <w:spacing w:val="7"/>
        </w:rPr>
        <w:t>制性标准要求判定。</w:t>
      </w:r>
    </w:p>
    <w:p>
      <w:pPr>
        <w:pStyle w:val="2"/>
        <w:spacing w:before="192" w:line="227" w:lineRule="auto"/>
        <w:ind w:right="15"/>
        <w:jc w:val="right"/>
      </w:pPr>
      <w:r>
        <w:rPr>
          <w:spacing w:val="7"/>
        </w:rPr>
        <w:t>若被检产品明示的质量要求缺少本细则中检验项目依据的推荐性标准要求时，该项目不</w:t>
      </w:r>
    </w:p>
    <w:p>
      <w:pPr>
        <w:pStyle w:val="2"/>
        <w:spacing w:before="193" w:line="228" w:lineRule="auto"/>
        <w:ind w:left="23"/>
      </w:pPr>
      <w:r>
        <w:rPr>
          <w:spacing w:val="5"/>
        </w:rPr>
        <w:t>参与判定。</w:t>
      </w:r>
    </w:p>
    <w:p>
      <w:pPr>
        <w:pStyle w:val="2"/>
        <w:spacing w:before="52" w:line="228" w:lineRule="auto"/>
        <w:ind w:left="21"/>
      </w:pPr>
      <w:r>
        <w:rPr>
          <w:spacing w:val="5"/>
          <w14:textOutline w14:w="3795" w14:cap="sq" w14:cmpd="sng">
            <w14:solidFill>
              <w14:srgbClr w14:val="000000"/>
            </w14:solidFill>
            <w14:prstDash w14:val="solid"/>
            <w14:bevel/>
          </w14:textOutline>
        </w:rPr>
        <w:t>4</w:t>
      </w:r>
      <w:r>
        <w:rPr>
          <w:spacing w:val="20"/>
        </w:rPr>
        <w:t xml:space="preserve"> </w:t>
      </w:r>
      <w:r>
        <w:rPr>
          <w:spacing w:val="5"/>
          <w14:textOutline w14:w="3795" w14:cap="sq" w14:cmpd="sng">
            <w14:solidFill>
              <w14:srgbClr w14:val="000000"/>
            </w14:solidFill>
            <w14:prstDash w14:val="solid"/>
            <w14:bevel/>
          </w14:textOutline>
        </w:rPr>
        <w:t>异议复检</w:t>
      </w:r>
    </w:p>
    <w:p>
      <w:pPr>
        <w:pStyle w:val="2"/>
        <w:spacing w:before="260" w:line="227" w:lineRule="auto"/>
        <w:ind w:left="231"/>
      </w:pPr>
      <w:r>
        <w:rPr>
          <w:spacing w:val="9"/>
        </w:rPr>
        <w:t>本细则中确定的全部检验项目，采用备用样品进行复检。</w:t>
      </w:r>
    </w:p>
    <w:sectPr>
      <w:pgSz w:w="11906" w:h="16839"/>
      <w:pgMar w:top="1428" w:right="1785" w:bottom="0" w:left="1785"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18675982"/>
    <w:rsid w:val="2D3709A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table" w:customStyle="1" w:styleId="5">
    <w:name w:val="Table Normal"/>
    <w:autoRedefine/>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2024-02-01T22:28:00Z</dcterms:created>
  <dc:creator>H&amp;M</dc:creator>
  <cp:lastModifiedBy>叁柒肆拾玖</cp:lastModifiedBy>
  <dcterms:modified xsi:type="dcterms:W3CDTF">2024-04-03T06:38:50Z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2024-04-02T14:42:47Z</vt:filetime>
  </property>
  <property fmtid="{D5CDD505-2E9C-101B-9397-08002B2CF9AE}" pid="4" name="KSOProductBuildVer">
    <vt:lpwstr>2052-12.1.0.16412</vt:lpwstr>
  </property>
  <property fmtid="{D5CDD505-2E9C-101B-9397-08002B2CF9AE}" pid="5" name="ICV">
    <vt:lpwstr>08B878F427B044328D50763494F8293D_12</vt:lpwstr>
  </property>
</Properties>
</file>