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  <w:t>威海火炬高技术产业开发区一次性筷子产品质量监督抽查实施细则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8"/>
          <w:szCs w:val="28"/>
          <w:lang w:eastAsia="zh-CN"/>
        </w:rPr>
        <w:t>（2024 年版）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1 抽样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spacing w:val="3"/>
        </w:rPr>
        <w:t>1.</w:t>
      </w:r>
      <w:r>
        <w:rPr>
          <w:color w:val="000000" w:themeColor="text1"/>
          <w:spacing w:val="3"/>
          <w14:textFill>
            <w14:solidFill>
              <w14:schemeClr w14:val="tx1"/>
            </w14:solidFill>
          </w14:textFill>
        </w:rPr>
        <w:t>1</w:t>
      </w:r>
      <w:r>
        <w:rPr>
          <w:color w:val="000000" w:themeColor="text1"/>
          <w:spacing w:val="-41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3"/>
          <w14:textFill>
            <w14:solidFill>
              <w14:schemeClr w14:val="tx1"/>
            </w14:solidFill>
          </w14:textFill>
        </w:rPr>
        <w:t>抽样方法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32" w:firstLineChars="200"/>
        <w:textAlignment w:val="baseline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pacing w:val="8"/>
          <w:position w:val="20"/>
          <w14:textFill>
            <w14:solidFill>
              <w14:schemeClr w14:val="tx1"/>
            </w14:solidFill>
          </w14:textFill>
        </w:rPr>
        <w:t>以随机抽样的方式在被抽样</w:t>
      </w:r>
      <w:bookmarkStart w:id="0" w:name="_GoBack"/>
      <w:bookmarkEnd w:id="0"/>
      <w:r>
        <w:rPr>
          <w:color w:val="000000" w:themeColor="text1"/>
          <w:spacing w:val="8"/>
          <w:position w:val="20"/>
          <w14:textFill>
            <w14:solidFill>
              <w14:schemeClr w14:val="tx1"/>
            </w14:solidFill>
          </w14:textFill>
        </w:rPr>
        <w:t>销售者的待销产品中抽取。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pacing w:val="3"/>
          <w14:textFill>
            <w14:solidFill>
              <w14:schemeClr w14:val="tx1"/>
            </w14:solidFill>
          </w14:textFill>
        </w:rPr>
        <w:t>1.2</w:t>
      </w:r>
      <w:r>
        <w:rPr>
          <w:color w:val="000000" w:themeColor="text1"/>
          <w:spacing w:val="-41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3"/>
          <w14:textFill>
            <w14:solidFill>
              <w14:schemeClr w14:val="tx1"/>
            </w14:solidFill>
          </w14:textFill>
        </w:rPr>
        <w:t>抽样基数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2" w:firstLineChars="200"/>
        <w:textAlignment w:val="baseline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pacing w:val="8"/>
          <w14:textFill>
            <w14:solidFill>
              <w14:schemeClr w14:val="tx1"/>
            </w14:solidFill>
          </w14:textFill>
        </w:rPr>
        <w:t>抽查样品基数满足抽样数量即可。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rPr>
          <w:color w:val="000000" w:themeColor="text1"/>
          <w:spacing w:val="2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pacing w:val="2"/>
          <w14:textFill>
            <w14:solidFill>
              <w14:schemeClr w14:val="tx1"/>
            </w14:solidFill>
          </w14:textFill>
        </w:rPr>
        <w:t>1.3</w:t>
      </w:r>
      <w:r>
        <w:rPr>
          <w:color w:val="000000" w:themeColor="text1"/>
          <w:spacing w:val="-34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2"/>
          <w14:textFill>
            <w14:solidFill>
              <w14:schemeClr w14:val="tx1"/>
            </w14:solidFill>
          </w14:textFill>
        </w:rPr>
        <w:t>抽样数量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28" w:firstLineChars="200"/>
        <w:textAlignment w:val="baseline"/>
        <w:rPr>
          <w:rFonts w:hint="eastAsia" w:eastAsia="宋体"/>
          <w:color w:val="000000" w:themeColor="text1"/>
          <w:spacing w:val="6"/>
          <w:lang w:eastAsia="zh-CN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pacing w:val="7"/>
          <w14:textFill>
            <w14:solidFill>
              <w14:schemeClr w14:val="tx1"/>
            </w14:solidFill>
          </w14:textFill>
        </w:rPr>
        <w:t>每批次产品抽取样品</w:t>
      </w:r>
      <w:r>
        <w:rPr>
          <w:color w:val="000000" w:themeColor="text1"/>
          <w:spacing w:val="-37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pacing w:val="7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color w:val="000000" w:themeColor="text1"/>
          <w:spacing w:val="7"/>
          <w14:textFill>
            <w14:solidFill>
              <w14:schemeClr w14:val="tx1"/>
            </w14:solidFill>
          </w14:textFill>
        </w:rPr>
        <w:t>00</w:t>
      </w:r>
      <w:r>
        <w:rPr>
          <w:color w:val="000000" w:themeColor="text1"/>
          <w:spacing w:val="-40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7"/>
          <w14:textFill>
            <w14:solidFill>
              <w14:schemeClr w14:val="tx1"/>
            </w14:solidFill>
          </w14:textFill>
        </w:rPr>
        <w:t>双，其中</w:t>
      </w:r>
      <w:r>
        <w:rPr>
          <w:color w:val="000000" w:themeColor="text1"/>
          <w:spacing w:val="-24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7"/>
          <w14:textFill>
            <w14:solidFill>
              <w14:schemeClr w14:val="tx1"/>
            </w14:solidFill>
          </w14:textFill>
        </w:rPr>
        <w:t>100</w:t>
      </w:r>
      <w:r>
        <w:rPr>
          <w:color w:val="000000" w:themeColor="text1"/>
          <w:spacing w:val="-40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7"/>
          <w14:textFill>
            <w14:solidFill>
              <w14:schemeClr w14:val="tx1"/>
            </w14:solidFill>
          </w14:textFill>
        </w:rPr>
        <w:t>双作为检验样品，10</w:t>
      </w:r>
      <w:r>
        <w:rPr>
          <w:color w:val="000000" w:themeColor="text1"/>
          <w:spacing w:val="6"/>
          <w14:textFill>
            <w14:solidFill>
              <w14:schemeClr w14:val="tx1"/>
            </w14:solidFill>
          </w14:textFill>
        </w:rPr>
        <w:t>0</w:t>
      </w:r>
      <w:r>
        <w:rPr>
          <w:color w:val="000000" w:themeColor="text1"/>
          <w:spacing w:val="-41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pacing w:val="6"/>
          <w14:textFill>
            <w14:solidFill>
              <w14:schemeClr w14:val="tx1"/>
            </w14:solidFill>
          </w14:textFill>
        </w:rPr>
        <w:t>双作为备</w:t>
      </w:r>
      <w:r>
        <w:rPr>
          <w:rFonts w:hint="eastAsia"/>
          <w:color w:val="000000" w:themeColor="text1"/>
          <w:spacing w:val="6"/>
          <w:lang w:eastAsia="zh-CN"/>
          <w14:textFill>
            <w14:solidFill>
              <w14:schemeClr w14:val="tx1"/>
            </w14:solidFill>
          </w14:textFill>
        </w:rPr>
        <w:t>用样品。（由于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rPr>
          <w:rFonts w:hint="eastAsia" w:eastAsia="宋体"/>
          <w:color w:val="000000" w:themeColor="text1"/>
          <w:spacing w:val="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pacing w:val="2"/>
          <w14:textFill>
            <w14:solidFill>
              <w14:schemeClr w14:val="tx1"/>
            </w14:solidFill>
          </w14:textFill>
        </w:rPr>
        <w:t>产品包装</w:t>
      </w:r>
      <w:r>
        <w:rPr>
          <w:rFonts w:hint="eastAsia"/>
          <w:color w:val="000000" w:themeColor="text1"/>
          <w:spacing w:val="2"/>
          <w:lang w:eastAsia="zh-CN"/>
          <w14:textFill>
            <w14:solidFill>
              <w14:schemeClr w14:val="tx1"/>
            </w14:solidFill>
          </w14:textFill>
        </w:rPr>
        <w:t>数量</w:t>
      </w:r>
      <w:r>
        <w:rPr>
          <w:rFonts w:hint="eastAsia"/>
          <w:color w:val="000000" w:themeColor="text1"/>
          <w:spacing w:val="2"/>
          <w14:textFill>
            <w14:solidFill>
              <w14:schemeClr w14:val="tx1"/>
            </w14:solidFill>
          </w14:textFill>
        </w:rPr>
        <w:t>不一，视情况调整，</w:t>
      </w:r>
      <w:r>
        <w:rPr>
          <w:rFonts w:hint="eastAsia"/>
          <w:color w:val="000000" w:themeColor="text1"/>
          <w:spacing w:val="2"/>
          <w:lang w:eastAsia="zh-CN"/>
          <w14:textFill>
            <w14:solidFill>
              <w14:schemeClr w14:val="tx1"/>
            </w14:solidFill>
          </w14:textFill>
        </w:rPr>
        <w:t>以</w:t>
      </w:r>
      <w:r>
        <w:rPr>
          <w:rFonts w:hint="eastAsia"/>
          <w:color w:val="000000" w:themeColor="text1"/>
          <w:spacing w:val="2"/>
          <w14:textFill>
            <w14:solidFill>
              <w14:schemeClr w14:val="tx1"/>
            </w14:solidFill>
          </w14:textFill>
        </w:rPr>
        <w:t>满足试验要求为准</w:t>
      </w:r>
      <w:r>
        <w:rPr>
          <w:color w:val="000000" w:themeColor="text1"/>
          <w:spacing w:val="6"/>
          <w14:textFill>
            <w14:solidFill>
              <w14:schemeClr w14:val="tx1"/>
            </w14:solidFill>
          </w14:textFill>
        </w:rPr>
        <w:t>。</w:t>
      </w:r>
      <w:r>
        <w:rPr>
          <w:rFonts w:hint="eastAsia"/>
          <w:color w:val="000000" w:themeColor="text1"/>
          <w:spacing w:val="6"/>
          <w:lang w:eastAsia="zh-CN"/>
          <w14:textFill>
            <w14:solidFill>
              <w14:schemeClr w14:val="tx1"/>
            </w14:solidFill>
          </w14:textFill>
        </w:rPr>
        <w:t>）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2 检验项目及检测方法</w:t>
      </w:r>
    </w:p>
    <w:p>
      <w:pPr>
        <w:pStyle w:val="2"/>
        <w:spacing w:line="240" w:lineRule="auto"/>
        <w:ind w:left="39"/>
        <w:jc w:val="center"/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  <w:t>表 1</w:t>
      </w: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pacing w:val="5"/>
          <w:sz w:val="20"/>
          <w:szCs w:val="20"/>
        </w:rPr>
        <w:t xml:space="preserve"> 一次性筷子产品检验项目</w:t>
      </w:r>
    </w:p>
    <w:p>
      <w:pPr>
        <w:spacing w:line="130" w:lineRule="exact"/>
      </w:pPr>
    </w:p>
    <w:p>
      <w:pPr>
        <w:spacing w:line="91" w:lineRule="auto"/>
        <w:rPr>
          <w:rFonts w:ascii="Arial"/>
          <w:sz w:val="2"/>
        </w:rPr>
      </w:pPr>
    </w:p>
    <w:tbl>
      <w:tblPr>
        <w:tblStyle w:val="5"/>
        <w:tblW w:w="852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"/>
        <w:gridCol w:w="1750"/>
        <w:gridCol w:w="2318"/>
        <w:gridCol w:w="352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52" w:line="229" w:lineRule="auto"/>
              <w:ind w:left="263"/>
            </w:pPr>
            <w:r>
              <w:rPr>
                <w:spacing w:val="5"/>
              </w:rPr>
              <w:t>序号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52" w:line="228" w:lineRule="auto"/>
              <w:ind w:left="458"/>
            </w:pPr>
            <w:r>
              <w:rPr>
                <w:spacing w:val="7"/>
              </w:rPr>
              <w:t>检验项目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52" w:line="228" w:lineRule="auto"/>
              <w:ind w:left="743"/>
            </w:pPr>
            <w:r>
              <w:rPr>
                <w:spacing w:val="7"/>
              </w:rPr>
              <w:t>检测方法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52" w:line="229" w:lineRule="auto"/>
              <w:ind w:left="1560"/>
            </w:pPr>
            <w:r>
              <w:rPr>
                <w:spacing w:val="3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95" w:line="189" w:lineRule="auto"/>
              <w:ind w:left="435"/>
            </w:pPr>
            <w:r>
              <w:t>1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63" w:line="229" w:lineRule="auto"/>
              <w:ind w:left="459"/>
            </w:pPr>
            <w:r>
              <w:rPr>
                <w:spacing w:val="7"/>
              </w:rPr>
              <w:t>感官要求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95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62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3" w:hRule="atLeast"/>
        </w:trPr>
        <w:tc>
          <w:tcPr>
            <w:tcW w:w="936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89" w:lineRule="auto"/>
              <w:ind w:left="422"/>
            </w:pPr>
            <w:r>
              <w:t>2</w:t>
            </w:r>
          </w:p>
        </w:tc>
        <w:tc>
          <w:tcPr>
            <w:tcW w:w="1750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9" w:lineRule="auto"/>
              <w:ind w:left="464"/>
            </w:pPr>
            <w:r>
              <w:rPr>
                <w:spacing w:val="5"/>
              </w:rPr>
              <w:t>总迁移量</w:t>
            </w:r>
          </w:p>
        </w:tc>
        <w:tc>
          <w:tcPr>
            <w:tcW w:w="2318" w:type="dxa"/>
            <w:vAlign w:val="top"/>
          </w:tcPr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line="315" w:lineRule="auto"/>
              <w:rPr>
                <w:rFonts w:ascii="Arial"/>
                <w:sz w:val="21"/>
              </w:rPr>
            </w:pPr>
          </w:p>
          <w:p>
            <w:pPr>
              <w:spacing w:line="31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90" w:lineRule="auto"/>
              <w:ind w:left="63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31604.8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33" w:line="248" w:lineRule="auto"/>
              <w:ind w:left="113" w:right="22"/>
              <w:jc w:val="both"/>
            </w:pPr>
            <w:r>
              <w:rPr>
                <w:spacing w:val="-1"/>
              </w:rPr>
              <w:t>仅适用于使用了涂料、粘合剂和（或）</w:t>
            </w:r>
            <w:r>
              <w:t xml:space="preserve"> </w:t>
            </w:r>
            <w:r>
              <w:rPr>
                <w:spacing w:val="10"/>
              </w:rPr>
              <w:t>油墨的食品接触用竹木材料及制品。</w:t>
            </w:r>
            <w:r>
              <w:rPr>
                <w:spacing w:val="9"/>
              </w:rPr>
              <w:t xml:space="preserve"> </w:t>
            </w:r>
            <w:r>
              <w:rPr>
                <w:spacing w:val="6"/>
              </w:rPr>
              <w:t>对于使用粘合剂和（或）油墨的食品</w:t>
            </w:r>
            <w:r>
              <w:t xml:space="preserve">  </w:t>
            </w:r>
            <w:r>
              <w:rPr>
                <w:spacing w:val="6"/>
              </w:rPr>
              <w:t>接触用竹木材料及制品，如果按照规</w:t>
            </w:r>
            <w:r>
              <w:t xml:space="preserve">  </w:t>
            </w:r>
            <w:r>
              <w:rPr>
                <w:spacing w:val="14"/>
              </w:rPr>
              <w:t>定选择的食品模拟液测得的总迁移</w:t>
            </w:r>
            <w:r>
              <w:rPr>
                <w:spacing w:val="3"/>
              </w:rPr>
              <w:t xml:space="preserve">  </w:t>
            </w:r>
            <w:r>
              <w:rPr>
                <w:spacing w:val="10"/>
              </w:rPr>
              <w:t>量超过限量时，应按照</w:t>
            </w:r>
            <w:r>
              <w:rPr>
                <w:spacing w:val="-36"/>
              </w:rPr>
              <w:t xml:space="preserve"> </w:t>
            </w:r>
            <w:r>
              <w:t>GB</w:t>
            </w:r>
            <w:r>
              <w:rPr>
                <w:spacing w:val="10"/>
              </w:rPr>
              <w:t xml:space="preserve"> 31604.8</w:t>
            </w:r>
            <w:r>
              <w:t xml:space="preserve">  </w:t>
            </w:r>
            <w:r>
              <w:rPr>
                <w:spacing w:val="5"/>
              </w:rPr>
              <w:t>测定三氯甲烷提取物，并以测得的三</w:t>
            </w:r>
          </w:p>
          <w:p>
            <w:pPr>
              <w:pStyle w:val="6"/>
              <w:spacing w:before="24" w:line="216" w:lineRule="auto"/>
              <w:ind w:left="406"/>
            </w:pPr>
            <w:r>
              <w:rPr>
                <w:spacing w:val="8"/>
              </w:rPr>
              <w:t>氯甲烷提取量进行结果判定。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50" w:line="189" w:lineRule="auto"/>
              <w:ind w:left="424"/>
            </w:pPr>
            <w:r>
              <w:t>3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17" w:line="231" w:lineRule="auto"/>
              <w:ind w:left="696"/>
            </w:pPr>
            <w:r>
              <w:rPr>
                <w:spacing w:val="-9"/>
              </w:rPr>
              <w:t>甲醛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49" w:line="190" w:lineRule="auto"/>
              <w:ind w:left="585"/>
            </w:pPr>
            <w:r>
              <w:t>GB</w:t>
            </w:r>
            <w:r>
              <w:rPr>
                <w:spacing w:val="17"/>
              </w:rPr>
              <w:t xml:space="preserve"> </w:t>
            </w:r>
            <w:r>
              <w:rPr>
                <w:spacing w:val="4"/>
              </w:rPr>
              <w:t>31604.48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17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45" w:line="189" w:lineRule="auto"/>
              <w:ind w:left="419"/>
            </w:pPr>
            <w:r>
              <w:t>4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12" w:line="227" w:lineRule="auto"/>
              <w:ind w:left="462"/>
            </w:pPr>
            <w:r>
              <w:rPr>
                <w:spacing w:val="6"/>
              </w:rPr>
              <w:t>二氧化硫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44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12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9" w:hRule="atLeast"/>
        </w:trPr>
        <w:tc>
          <w:tcPr>
            <w:tcW w:w="936" w:type="dxa"/>
            <w:vAlign w:val="top"/>
          </w:tcPr>
          <w:p>
            <w:pPr>
              <w:spacing w:line="305" w:lineRule="auto"/>
              <w:rPr>
                <w:rFonts w:ascii="Arial"/>
                <w:sz w:val="21"/>
              </w:rPr>
            </w:pPr>
          </w:p>
          <w:p>
            <w:pPr>
              <w:spacing w:line="30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87" w:lineRule="auto"/>
              <w:ind w:left="424"/>
            </w:pPr>
            <w:r>
              <w:t>5</w:t>
            </w:r>
          </w:p>
        </w:tc>
        <w:tc>
          <w:tcPr>
            <w:tcW w:w="1750" w:type="dxa"/>
            <w:vAlign w:val="top"/>
          </w:tcPr>
          <w:p>
            <w:pPr>
              <w:spacing w:line="30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227" w:lineRule="auto"/>
              <w:ind w:left="147"/>
            </w:pPr>
            <w:r>
              <w:rPr>
                <w:spacing w:val="8"/>
              </w:rPr>
              <w:t>五氯苯酚及其盐</w:t>
            </w:r>
          </w:p>
          <w:p>
            <w:pPr>
              <w:pStyle w:val="6"/>
              <w:spacing w:before="24"/>
              <w:ind w:left="669" w:right="139" w:hanging="525"/>
            </w:pPr>
            <w:r>
              <w:rPr>
                <w:spacing w:val="8"/>
              </w:rPr>
              <w:t>类（以五氯苯酚</w:t>
            </w:r>
            <w:r>
              <w:rPr>
                <w:spacing w:val="3"/>
              </w:rPr>
              <w:t xml:space="preserve"> </w:t>
            </w:r>
            <w:r>
              <w:t>计）</w:t>
            </w:r>
          </w:p>
        </w:tc>
        <w:tc>
          <w:tcPr>
            <w:tcW w:w="2318" w:type="dxa"/>
            <w:vAlign w:val="top"/>
          </w:tcPr>
          <w:p>
            <w:pPr>
              <w:spacing w:line="33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90" w:lineRule="auto"/>
              <w:ind w:left="638"/>
            </w:pPr>
            <w:r>
              <w:t>GB</w:t>
            </w:r>
            <w:r>
              <w:rPr>
                <w:spacing w:val="22"/>
              </w:rPr>
              <w:t xml:space="preserve"> </w:t>
            </w:r>
            <w:r>
              <w:rPr>
                <w:spacing w:val="3"/>
              </w:rPr>
              <w:t>31604.1</w:t>
            </w:r>
          </w:p>
          <w:p>
            <w:pPr>
              <w:pStyle w:val="6"/>
              <w:spacing w:before="65" w:line="190" w:lineRule="auto"/>
              <w:ind w:left="585"/>
            </w:pPr>
            <w:r>
              <w:t>GB</w:t>
            </w:r>
            <w:r>
              <w:rPr>
                <w:spacing w:val="17"/>
              </w:rPr>
              <w:t xml:space="preserve"> </w:t>
            </w:r>
            <w:r>
              <w:rPr>
                <w:spacing w:val="4"/>
              </w:rPr>
              <w:t>5009.156</w:t>
            </w:r>
          </w:p>
          <w:p>
            <w:pPr>
              <w:pStyle w:val="6"/>
              <w:spacing w:before="33" w:line="233" w:lineRule="auto"/>
              <w:ind w:left="691"/>
            </w:pPr>
            <w:r>
              <w:t>SN</w:t>
            </w:r>
            <w:r>
              <w:rPr>
                <w:spacing w:val="3"/>
              </w:rPr>
              <w:t>/T</w:t>
            </w:r>
            <w:r>
              <w:rPr>
                <w:spacing w:val="18"/>
              </w:rPr>
              <w:t xml:space="preserve"> </w:t>
            </w:r>
            <w:r>
              <w:rPr>
                <w:spacing w:val="3"/>
              </w:rPr>
              <w:t>2204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234" w:line="246" w:lineRule="auto"/>
              <w:ind w:left="140" w:right="108" w:hanging="27"/>
            </w:pPr>
            <w:r>
              <w:rPr>
                <w:spacing w:val="8"/>
              </w:rPr>
              <w:t>将经迁移试验所得浸泡液加入</w:t>
            </w:r>
            <w:r>
              <w:rPr>
                <w:spacing w:val="-32"/>
              </w:rPr>
              <w:t xml:space="preserve"> </w:t>
            </w:r>
            <w:r>
              <w:rPr>
                <w:spacing w:val="8"/>
              </w:rPr>
              <w:t>0.5</w:t>
            </w:r>
            <w:r>
              <w:t xml:space="preserve">mL </w:t>
            </w:r>
            <w:r>
              <w:rPr>
                <w:spacing w:val="5"/>
              </w:rPr>
              <w:t>硫酸溶液（1+1）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[选择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4%（体积分</w:t>
            </w:r>
            <w:r>
              <w:t xml:space="preserve"> </w:t>
            </w:r>
            <w:r>
              <w:rPr>
                <w:spacing w:val="10"/>
              </w:rPr>
              <w:t>数）乙酸作为食品模拟物时除外]，</w:t>
            </w:r>
            <w:r>
              <w:t xml:space="preserve"> </w:t>
            </w:r>
            <w:r>
              <w:rPr>
                <w:spacing w:val="9"/>
              </w:rPr>
              <w:t>混合均匀后按照</w:t>
            </w:r>
            <w:r>
              <w:rPr>
                <w:spacing w:val="-34"/>
              </w:rPr>
              <w:t xml:space="preserve"> </w:t>
            </w:r>
            <w:r>
              <w:t>SN</w:t>
            </w:r>
            <w:r>
              <w:rPr>
                <w:spacing w:val="9"/>
              </w:rPr>
              <w:t>/T 2204</w:t>
            </w:r>
            <w:r>
              <w:rPr>
                <w:spacing w:val="-40"/>
              </w:rPr>
              <w:t xml:space="preserve"> </w:t>
            </w:r>
            <w:r>
              <w:rPr>
                <w:spacing w:val="9"/>
              </w:rPr>
              <w:t>测定。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55" w:line="189" w:lineRule="auto"/>
              <w:ind w:left="422"/>
            </w:pPr>
            <w:r>
              <w:t>6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22" w:line="228" w:lineRule="auto"/>
              <w:ind w:left="573"/>
            </w:pPr>
            <w:r>
              <w:rPr>
                <w:spacing w:val="3"/>
              </w:rPr>
              <w:t>噻菌灵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55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22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67" w:line="187" w:lineRule="auto"/>
              <w:ind w:left="425"/>
            </w:pPr>
            <w:r>
              <w:t>7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31" w:line="227" w:lineRule="auto"/>
              <w:ind w:left="352"/>
            </w:pPr>
            <w:r>
              <w:rPr>
                <w:spacing w:val="8"/>
              </w:rPr>
              <w:t>邻苯基苯酚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64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31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77" w:line="189" w:lineRule="auto"/>
              <w:ind w:left="421"/>
            </w:pPr>
            <w:r>
              <w:t>8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45" w:line="228" w:lineRule="auto"/>
              <w:ind w:left="564"/>
            </w:pPr>
            <w:r>
              <w:rPr>
                <w:spacing w:val="6"/>
              </w:rPr>
              <w:t>抑霉唑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77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44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69" w:line="189" w:lineRule="auto"/>
              <w:ind w:left="421"/>
            </w:pPr>
            <w:r>
              <w:t>9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36" w:line="227" w:lineRule="auto"/>
              <w:ind w:left="670"/>
            </w:pPr>
            <w:r>
              <w:rPr>
                <w:spacing w:val="4"/>
              </w:rPr>
              <w:t>联苯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68" w:line="189" w:lineRule="auto"/>
              <w:ind w:left="638"/>
            </w:pPr>
            <w:r>
              <w:t>GB</w:t>
            </w:r>
            <w:r>
              <w:rPr>
                <w:spacing w:val="5"/>
              </w:rPr>
              <w:t xml:space="preserve"> 4806.12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36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207" w:line="190" w:lineRule="auto"/>
              <w:ind w:left="385"/>
            </w:pPr>
            <w:r>
              <w:rPr>
                <w:spacing w:val="-7"/>
              </w:rPr>
              <w:t>10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75" w:line="228" w:lineRule="auto"/>
              <w:ind w:left="461"/>
            </w:pPr>
            <w:r>
              <w:rPr>
                <w:spacing w:val="6"/>
              </w:rPr>
              <w:t>大肠菌群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207" w:line="190" w:lineRule="auto"/>
              <w:ind w:left="741"/>
            </w:pPr>
            <w:r>
              <w:t>GB</w:t>
            </w:r>
            <w:r>
              <w:rPr>
                <w:spacing w:val="30"/>
              </w:rPr>
              <w:t xml:space="preserve"> </w:t>
            </w:r>
            <w:r>
              <w:rPr>
                <w:spacing w:val="1"/>
              </w:rPr>
              <w:t>14934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75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936" w:type="dxa"/>
            <w:vAlign w:val="top"/>
          </w:tcPr>
          <w:p>
            <w:pPr>
              <w:pStyle w:val="6"/>
              <w:spacing w:before="195" w:line="189" w:lineRule="auto"/>
              <w:ind w:left="385"/>
            </w:pPr>
            <w:r>
              <w:rPr>
                <w:spacing w:val="-7"/>
              </w:rPr>
              <w:t>11</w:t>
            </w:r>
          </w:p>
        </w:tc>
        <w:tc>
          <w:tcPr>
            <w:tcW w:w="1750" w:type="dxa"/>
            <w:vAlign w:val="top"/>
          </w:tcPr>
          <w:p>
            <w:pPr>
              <w:pStyle w:val="6"/>
              <w:spacing w:before="162" w:line="228" w:lineRule="auto"/>
              <w:ind w:left="460"/>
            </w:pPr>
            <w:r>
              <w:rPr>
                <w:spacing w:val="6"/>
              </w:rPr>
              <w:t>沙门氏菌</w:t>
            </w:r>
          </w:p>
        </w:tc>
        <w:tc>
          <w:tcPr>
            <w:tcW w:w="2318" w:type="dxa"/>
            <w:vAlign w:val="top"/>
          </w:tcPr>
          <w:p>
            <w:pPr>
              <w:pStyle w:val="6"/>
              <w:spacing w:before="194" w:line="190" w:lineRule="auto"/>
              <w:ind w:left="741"/>
            </w:pPr>
            <w:r>
              <w:t>GB</w:t>
            </w:r>
            <w:r>
              <w:rPr>
                <w:spacing w:val="30"/>
              </w:rPr>
              <w:t xml:space="preserve"> </w:t>
            </w:r>
            <w:r>
              <w:rPr>
                <w:spacing w:val="1"/>
              </w:rPr>
              <w:t>14934</w:t>
            </w:r>
          </w:p>
        </w:tc>
        <w:tc>
          <w:tcPr>
            <w:tcW w:w="3525" w:type="dxa"/>
            <w:vAlign w:val="top"/>
          </w:tcPr>
          <w:p>
            <w:pPr>
              <w:pStyle w:val="6"/>
              <w:spacing w:before="162" w:line="233" w:lineRule="auto"/>
              <w:ind w:left="1713"/>
            </w:pPr>
            <w:r>
              <w:t>/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529" w:type="dxa"/>
            <w:gridSpan w:val="4"/>
            <w:vAlign w:val="top"/>
          </w:tcPr>
          <w:p>
            <w:pPr>
              <w:pStyle w:val="6"/>
              <w:spacing w:before="177" w:line="228" w:lineRule="auto"/>
              <w:ind w:left="115"/>
            </w:pPr>
            <w:r>
              <w:rPr>
                <w:spacing w:val="4"/>
              </w:rPr>
              <w:t>注：生产日期在</w:t>
            </w:r>
            <w:r>
              <w:rPr>
                <w:spacing w:val="-37"/>
              </w:rPr>
              <w:t xml:space="preserve"> </w:t>
            </w:r>
            <w:r>
              <w:rPr>
                <w:spacing w:val="4"/>
              </w:rPr>
              <w:t>2022</w:t>
            </w:r>
            <w:r>
              <w:rPr>
                <w:spacing w:val="-39"/>
              </w:rPr>
              <w:t xml:space="preserve"> </w:t>
            </w:r>
            <w:r>
              <w:rPr>
                <w:spacing w:val="4"/>
              </w:rPr>
              <w:t>年</w:t>
            </w:r>
            <w:r>
              <w:rPr>
                <w:spacing w:val="-22"/>
              </w:rPr>
              <w:t xml:space="preserve"> </w:t>
            </w:r>
            <w:r>
              <w:rPr>
                <w:spacing w:val="4"/>
              </w:rPr>
              <w:t>12</w:t>
            </w:r>
            <w:r>
              <w:rPr>
                <w:spacing w:val="-35"/>
              </w:rPr>
              <w:t xml:space="preserve"> </w:t>
            </w:r>
            <w:r>
              <w:rPr>
                <w:spacing w:val="4"/>
              </w:rPr>
              <w:t>月</w:t>
            </w:r>
            <w:r>
              <w:rPr>
                <w:spacing w:val="-35"/>
              </w:rPr>
              <w:t xml:space="preserve"> </w:t>
            </w:r>
            <w:r>
              <w:rPr>
                <w:spacing w:val="4"/>
              </w:rPr>
              <w:t>30 日及之后的产品，执行</w:t>
            </w:r>
            <w:r>
              <w:rPr>
                <w:spacing w:val="-39"/>
              </w:rPr>
              <w:t xml:space="preserve"> </w:t>
            </w:r>
            <w:r>
              <w:t>GB</w:t>
            </w:r>
            <w:r>
              <w:rPr>
                <w:spacing w:val="4"/>
              </w:rPr>
              <w:t xml:space="preserve"> 4806.1</w:t>
            </w:r>
            <w:r>
              <w:rPr>
                <w:spacing w:val="3"/>
              </w:rPr>
              <w:t>2。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7"/>
        </w:rPr>
        <w:t>注：上表所列检验项目是有关法律法规、标准等规定的，重</w:t>
      </w:r>
      <w:r>
        <w:rPr>
          <w:spacing w:val="6"/>
        </w:rPr>
        <w:t>点涉及健康、安全、节能、</w:t>
      </w:r>
      <w:r>
        <w:rPr>
          <w:spacing w:val="9"/>
        </w:rPr>
        <w:t>环保以及消费者、有关组织反映有质量问题的重要项目。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6" w:firstLineChars="200"/>
        <w:textAlignment w:val="baseline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15"/>
        </w:rPr>
        <w:t>凡是注日期的文件，其随后所有的修改单（不包括</w:t>
      </w:r>
      <w:r>
        <w:rPr>
          <w:spacing w:val="9"/>
          <w:position w:val="15"/>
        </w:rPr>
        <w:t>勘误的内容）或修订版不适用于本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9"/>
        </w:rPr>
        <w:t>细则。凡是不注日期的文件，其最新版本适用于本细则。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3 判定规则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00" w:firstLineChars="200"/>
        <w:textAlignment w:val="baseline"/>
      </w:pPr>
      <w:r>
        <w:t>GB</w:t>
      </w:r>
      <w:r>
        <w:rPr>
          <w:spacing w:val="5"/>
        </w:rPr>
        <w:t>/T 19790.2</w:t>
      </w:r>
      <w:r>
        <w:rPr>
          <w:spacing w:val="28"/>
        </w:rPr>
        <w:t xml:space="preserve"> </w:t>
      </w:r>
      <w:r>
        <w:rPr>
          <w:spacing w:val="5"/>
        </w:rPr>
        <w:t>一次性筷子</w:t>
      </w:r>
      <w:r>
        <w:rPr>
          <w:spacing w:val="16"/>
        </w:rPr>
        <w:t xml:space="preserve"> </w:t>
      </w:r>
      <w:r>
        <w:rPr>
          <w:spacing w:val="5"/>
        </w:rPr>
        <w:t>第</w:t>
      </w:r>
      <w:r>
        <w:rPr>
          <w:spacing w:val="-37"/>
        </w:rPr>
        <w:t xml:space="preserve"> </w:t>
      </w:r>
      <w:r>
        <w:rPr>
          <w:spacing w:val="5"/>
        </w:rPr>
        <w:t>2</w:t>
      </w:r>
      <w:r>
        <w:rPr>
          <w:spacing w:val="-35"/>
        </w:rPr>
        <w:t xml:space="preserve"> </w:t>
      </w:r>
      <w:r>
        <w:rPr>
          <w:spacing w:val="5"/>
        </w:rPr>
        <w:t>部分：竹筷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6" w:firstLineChars="200"/>
        <w:textAlignment w:val="baseline"/>
      </w:pPr>
      <w:r>
        <w:rPr>
          <w:spacing w:val="9"/>
        </w:rPr>
        <w:t>相关的法律、行政法规、部门规章、规范性文件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36" w:firstLineChars="200"/>
        <w:textAlignment w:val="baseline"/>
      </w:pPr>
      <w:r>
        <w:rPr>
          <w:spacing w:val="9"/>
        </w:rPr>
        <w:t>现行有效的企业标准、团体标准、地方标准及产品明示质量要求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outlineLvl w:val="0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20"/>
        </w:rPr>
        <w:t>经检验，检验项目全部合格，判定为被抽查产品所检项目</w:t>
      </w:r>
      <w:r>
        <w:rPr>
          <w:spacing w:val="9"/>
          <w:position w:val="20"/>
        </w:rPr>
        <w:t>未发现不合格；检验项目中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9"/>
        </w:rPr>
        <w:t>任一项或一项以上不合格，判定为被抽查产品不合格。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20"/>
        </w:rPr>
        <w:t>若被检产品明示的质量要求高于本细则中检验项目依据的标准要</w:t>
      </w:r>
      <w:r>
        <w:rPr>
          <w:spacing w:val="9"/>
          <w:position w:val="20"/>
        </w:rPr>
        <w:t>求时，应按被检产品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6"/>
        </w:rPr>
        <w:t>明示的质量要求判定。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20"/>
        </w:rPr>
        <w:t>若被检产品明示的质量要求低于本细则中检验项目依据的强制性</w:t>
      </w:r>
      <w:r>
        <w:rPr>
          <w:spacing w:val="9"/>
          <w:position w:val="20"/>
        </w:rPr>
        <w:t>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20"/>
        </w:rPr>
        <w:t>若被检产品明示的质量要求低于或包含细则中检验项目依据的推</w:t>
      </w:r>
      <w:r>
        <w:rPr>
          <w:spacing w:val="9"/>
          <w:position w:val="20"/>
        </w:rPr>
        <w:t>荐性标准要求时，应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40" w:firstLineChars="200"/>
        <w:textAlignment w:val="baseline"/>
      </w:pPr>
      <w:r>
        <w:rPr>
          <w:spacing w:val="10"/>
          <w:position w:val="20"/>
        </w:rPr>
        <w:t>若被检产品明示的质量要求缺少本细则中检验项目依据的强制性</w:t>
      </w:r>
      <w:r>
        <w:rPr>
          <w:spacing w:val="9"/>
          <w:position w:val="20"/>
        </w:rPr>
        <w:t>标准要求时，应按照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7"/>
        </w:rPr>
        <w:t>强制性标准要求判定。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40" w:firstLineChars="200"/>
        <w:textAlignment w:val="baseline"/>
      </w:pPr>
      <w:r>
        <w:rPr>
          <w:spacing w:val="10"/>
        </w:rPr>
        <w:t>若被检产品明示的质量要求缺少本细则中检验项目依据的推荐性</w:t>
      </w:r>
      <w:r>
        <w:rPr>
          <w:spacing w:val="9"/>
        </w:rPr>
        <w:t>标准要求时，该项目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8"/>
        </w:rPr>
        <w:t>不参与判定，但应在检验报告备注中进行说明。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baseline"/>
        <w:outlineLvl w:val="0"/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</w:pPr>
      <w:r>
        <w:rPr>
          <w:rFonts w:hint="eastAsia" w:ascii="黑体" w:hAnsi="黑体" w:eastAsia="黑体" w:cs="黑体"/>
          <w:b w:val="0"/>
          <w:bCs w:val="0"/>
          <w:color w:val="auto"/>
          <w:spacing w:val="-1"/>
          <w:sz w:val="20"/>
          <w:szCs w:val="20"/>
        </w:rPr>
        <w:t>4 异议复检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24" w:firstLineChars="200"/>
        <w:jc w:val="both"/>
        <w:textAlignment w:val="baseline"/>
        <w:outlineLvl w:val="0"/>
      </w:pPr>
      <w:r>
        <w:rPr>
          <w:spacing w:val="6"/>
        </w:rPr>
        <w:t>本细则中确定的噻苯咪唑、邻苯基苯酚、联苯、抑霉唑、二氧化硫浸出量</w:t>
      </w:r>
      <w:r>
        <w:rPr>
          <w:spacing w:val="8"/>
        </w:rPr>
        <w:t>检验项目，采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</w:pPr>
      <w:r>
        <w:rPr>
          <w:spacing w:val="7"/>
        </w:rPr>
        <w:t>用备用样品进行复检。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40" w:lineRule="auto"/>
        <w:ind w:left="0" w:firstLine="436" w:firstLineChars="200"/>
        <w:textAlignment w:val="baseline"/>
      </w:pPr>
      <w:r>
        <w:rPr>
          <w:spacing w:val="9"/>
          <w:position w:val="20"/>
        </w:rPr>
        <w:t>本细则中确定的大肠菌群、沙门氏菌、志贺氏菌、金黄色葡萄球菌、溶血性链球菌、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/>
        <w:textAlignment w:val="baseline"/>
        <w:rPr>
          <w:rFonts w:hint="eastAsia" w:eastAsia="宋体"/>
          <w:lang w:eastAsia="zh-CN"/>
        </w:rPr>
      </w:pPr>
      <w:r>
        <w:rPr>
          <w:spacing w:val="8"/>
        </w:rPr>
        <w:t>霉菌检验项目，不进行复检</w:t>
      </w:r>
      <w:r>
        <w:rPr>
          <w:rFonts w:hint="eastAsia"/>
          <w:spacing w:val="8"/>
          <w:lang w:eastAsia="zh-CN"/>
        </w:rPr>
        <w:t>。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 xml:space="preserve">            </w:t>
      </w:r>
    </w:p>
    <w:sectPr>
      <w:pgSz w:w="11906" w:h="16839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05C3240E"/>
    <w:rsid w:val="075A73A0"/>
    <w:rsid w:val="13C80810"/>
    <w:rsid w:val="20766D4B"/>
    <w:rsid w:val="27E774D6"/>
    <w:rsid w:val="2D176FAA"/>
    <w:rsid w:val="32D77D68"/>
    <w:rsid w:val="33FB3369"/>
    <w:rsid w:val="35410702"/>
    <w:rsid w:val="4C607C4A"/>
    <w:rsid w:val="71B07B55"/>
    <w:rsid w:val="772F4D3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2024-02-01T22:28:00Z</dcterms:created>
  <dc:creator>张晨艺</dc:creator>
  <cp:lastModifiedBy>叁柒肆拾玖</cp:lastModifiedBy>
  <dcterms:modified xsi:type="dcterms:W3CDTF">2024-04-03T06:40:30Z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2024-03-07T08:58:04Z</vt:filetime>
  </property>
  <property fmtid="{D5CDD505-2E9C-101B-9397-08002B2CF9AE}" pid="4" name="KSOProductBuildVer">
    <vt:lpwstr>2052-12.1.0.16412</vt:lpwstr>
  </property>
  <property fmtid="{D5CDD505-2E9C-101B-9397-08002B2CF9AE}" pid="5" name="ICV">
    <vt:lpwstr>BE9F954368A84CE7B116033479DB31DF_13</vt:lpwstr>
  </property>
</Properties>
</file>